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pPr>
    </w:p>
    <w:p>
      <w:pPr>
        <w:pStyle w:val="13"/>
        <w:spacing w:line="360" w:lineRule="auto"/>
        <w:ind w:firstLine="420"/>
        <w:jc w:val="center"/>
        <w:rPr>
          <w:rFonts w:ascii="宋体" w:hAnsi="宋体" w:cs="宋体"/>
        </w:rPr>
      </w:pPr>
    </w:p>
    <w:p>
      <w:pPr>
        <w:pStyle w:val="13"/>
        <w:spacing w:line="360" w:lineRule="auto"/>
        <w:ind w:firstLine="420"/>
        <w:jc w:val="center"/>
        <w:rPr>
          <w:rFonts w:ascii="宋体" w:hAnsi="宋体" w:cs="宋体"/>
        </w:rPr>
      </w:pPr>
      <w:r>
        <w:drawing>
          <wp:anchor distT="0" distB="0" distL="114300" distR="114300" simplePos="0" relativeHeight="251657216" behindDoc="0" locked="0" layoutInCell="1" allowOverlap="0">
            <wp:simplePos x="0" y="0"/>
            <wp:positionH relativeFrom="column">
              <wp:posOffset>2127250</wp:posOffset>
            </wp:positionH>
            <wp:positionV relativeFrom="paragraph">
              <wp:posOffset>219075</wp:posOffset>
            </wp:positionV>
            <wp:extent cx="2012950" cy="1830070"/>
            <wp:effectExtent l="0" t="0" r="6350" b="17780"/>
            <wp:wrapSquare wrapText="bothSides"/>
            <wp:docPr id="2" name="图片 2" descr="学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校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12950" cy="1830070"/>
                    </a:xfrm>
                    <a:prstGeom prst="rect">
                      <a:avLst/>
                    </a:prstGeom>
                    <a:noFill/>
                    <a:ln>
                      <a:noFill/>
                    </a:ln>
                  </pic:spPr>
                </pic:pic>
              </a:graphicData>
            </a:graphic>
          </wp:anchor>
        </w:drawing>
      </w:r>
    </w:p>
    <w:p>
      <w:pPr>
        <w:pStyle w:val="13"/>
        <w:spacing w:line="360" w:lineRule="auto"/>
        <w:ind w:firstLine="420"/>
        <w:jc w:val="center"/>
        <w:rPr>
          <w:rFonts w:ascii="宋体" w:hAnsi="宋体" w:cs="宋体"/>
        </w:rPr>
      </w:pPr>
    </w:p>
    <w:p>
      <w:pPr>
        <w:pStyle w:val="13"/>
        <w:spacing w:line="360" w:lineRule="auto"/>
        <w:ind w:firstLine="420"/>
        <w:jc w:val="center"/>
        <w:rPr>
          <w:rFonts w:ascii="宋体" w:hAnsi="宋体" w:cs="宋体"/>
        </w:rPr>
      </w:pPr>
    </w:p>
    <w:p>
      <w:pPr>
        <w:pStyle w:val="13"/>
        <w:spacing w:line="360" w:lineRule="auto"/>
        <w:ind w:firstLine="420"/>
        <w:jc w:val="center"/>
        <w:rPr>
          <w:rFonts w:ascii="宋体" w:hAnsi="宋体" w:cs="宋体"/>
        </w:rPr>
      </w:pPr>
    </w:p>
    <w:p>
      <w:pPr>
        <w:pStyle w:val="13"/>
        <w:spacing w:before="100" w:after="100" w:line="360" w:lineRule="auto"/>
        <w:ind w:firstLine="420"/>
        <w:jc w:val="center"/>
        <w:rPr>
          <w:rFonts w:ascii="宋体" w:hAnsi="宋体" w:cs="宋体"/>
          <w:sz w:val="72"/>
          <w:szCs w:val="72"/>
        </w:rPr>
      </w:pPr>
    </w:p>
    <w:p>
      <w:pPr>
        <w:pStyle w:val="13"/>
        <w:spacing w:before="100" w:after="100" w:line="360" w:lineRule="auto"/>
        <w:jc w:val="center"/>
        <w:rPr>
          <w:rFonts w:ascii="微软雅黑" w:hAnsi="微软雅黑" w:eastAsia="微软雅黑" w:cs="微软雅黑"/>
          <w:b/>
          <w:bCs/>
          <w:w w:val="80"/>
          <w:sz w:val="72"/>
          <w:szCs w:val="72"/>
        </w:rPr>
      </w:pPr>
      <w:r>
        <w:rPr>
          <w:rFonts w:hint="eastAsia" w:ascii="微软雅黑" w:hAnsi="微软雅黑" w:eastAsia="微软雅黑" w:cs="微软雅黑"/>
          <w:b/>
          <w:bCs/>
          <w:w w:val="80"/>
          <w:sz w:val="72"/>
          <w:szCs w:val="72"/>
        </w:rPr>
        <w:t>海宁卫生学校教育质量年度报告</w:t>
      </w:r>
    </w:p>
    <w:p>
      <w:pPr>
        <w:pStyle w:val="13"/>
        <w:spacing w:line="360" w:lineRule="auto"/>
        <w:ind w:firstLine="420"/>
        <w:jc w:val="center"/>
        <w:rPr>
          <w:rFonts w:ascii="微软雅黑" w:hAnsi="微软雅黑" w:eastAsia="微软雅黑" w:cs="微软雅黑"/>
          <w:b/>
          <w:bCs/>
          <w:w w:val="80"/>
          <w:sz w:val="56"/>
          <w:szCs w:val="56"/>
        </w:rPr>
      </w:pPr>
      <w:r>
        <w:rPr>
          <w:rFonts w:hint="eastAsia" w:ascii="微软雅黑" w:hAnsi="微软雅黑" w:eastAsia="微软雅黑" w:cs="微软雅黑"/>
          <w:b/>
          <w:bCs/>
          <w:w w:val="80"/>
          <w:sz w:val="56"/>
          <w:szCs w:val="56"/>
        </w:rPr>
        <w:t>（2019年度）</w:t>
      </w:r>
    </w:p>
    <w:p>
      <w:pPr>
        <w:pStyle w:val="13"/>
        <w:spacing w:line="360" w:lineRule="auto"/>
        <w:ind w:firstLine="420"/>
        <w:jc w:val="center"/>
        <w:rPr>
          <w:rFonts w:ascii="宋体" w:hAnsi="宋体" w:cs="宋体"/>
        </w:rPr>
      </w:pPr>
    </w:p>
    <w:p>
      <w:pPr>
        <w:pStyle w:val="13"/>
        <w:spacing w:line="360" w:lineRule="auto"/>
        <w:ind w:firstLine="420"/>
        <w:jc w:val="center"/>
        <w:rPr>
          <w:rFonts w:ascii="宋体" w:hAnsi="宋体" w:cs="宋体"/>
        </w:rPr>
      </w:pPr>
    </w:p>
    <w:p>
      <w:pPr>
        <w:pStyle w:val="13"/>
        <w:spacing w:line="360" w:lineRule="auto"/>
        <w:rPr>
          <w:rFonts w:ascii="宋体" w:hAnsi="宋体" w:cs="宋体"/>
        </w:rPr>
      </w:pPr>
    </w:p>
    <w:p>
      <w:pPr>
        <w:pStyle w:val="13"/>
        <w:spacing w:line="360" w:lineRule="auto"/>
        <w:rPr>
          <w:rFonts w:ascii="黑体" w:hAnsi="黑体" w:eastAsia="黑体" w:cs="楷体_GB2312"/>
          <w:b/>
          <w:bCs/>
          <w:sz w:val="44"/>
          <w:szCs w:val="44"/>
        </w:rPr>
      </w:pPr>
    </w:p>
    <w:p>
      <w:pPr>
        <w:pStyle w:val="13"/>
        <w:spacing w:line="360" w:lineRule="auto"/>
        <w:ind w:firstLine="221" w:firstLineChars="50"/>
        <w:jc w:val="center"/>
        <w:rPr>
          <w:rFonts w:ascii="黑体" w:hAnsi="黑体" w:eastAsia="黑体" w:cs="楷体_GB2312"/>
          <w:b/>
          <w:bCs/>
          <w:sz w:val="44"/>
          <w:szCs w:val="44"/>
        </w:rPr>
      </w:pPr>
      <w:r>
        <w:rPr>
          <w:rFonts w:hint="eastAsia" w:ascii="黑体" w:hAnsi="黑体" w:eastAsia="黑体" w:cs="楷体_GB2312"/>
          <w:b/>
          <w:bCs/>
          <w:sz w:val="44"/>
          <w:szCs w:val="44"/>
        </w:rPr>
        <w:t>二〇一九年十二月</w:t>
      </w:r>
    </w:p>
    <w:p>
      <w:pPr>
        <w:pStyle w:val="13"/>
        <w:spacing w:before="100" w:after="100" w:line="360" w:lineRule="auto"/>
        <w:ind w:firstLine="420"/>
        <w:jc w:val="center"/>
        <w:rPr>
          <w:kern w:val="2"/>
          <w:sz w:val="21"/>
        </w:rPr>
        <w:sectPr>
          <w:headerReference r:id="rId3" w:type="default"/>
          <w:footerReference r:id="rId4" w:type="default"/>
          <w:pgSz w:w="11850" w:h="16783"/>
          <w:pgMar w:top="1440" w:right="1080" w:bottom="1440" w:left="1080" w:header="851" w:footer="992" w:gutter="0"/>
          <w:pgNumType w:fmt="numberInDash" w:start="1"/>
          <w:cols w:space="425" w:num="1"/>
          <w:docGrid w:type="lines" w:linePitch="312" w:charSpace="0"/>
        </w:sectPr>
      </w:pPr>
    </w:p>
    <w:sdt>
      <w:sdtPr>
        <w:rPr>
          <w:kern w:val="2"/>
          <w:sz w:val="21"/>
          <w:lang w:val="zh-CN"/>
        </w:rPr>
        <w:id w:val="1037010710"/>
      </w:sdtPr>
      <w:sdtEndPr>
        <w:rPr>
          <w:kern w:val="2"/>
          <w:sz w:val="21"/>
          <w:lang w:val="zh-CN"/>
        </w:rPr>
      </w:sdtEndPr>
      <w:sdtContent>
        <w:p>
          <w:pPr>
            <w:pStyle w:val="13"/>
            <w:spacing w:before="100" w:after="100" w:line="360" w:lineRule="auto"/>
            <w:ind w:firstLine="420"/>
            <w:jc w:val="center"/>
            <w:rPr>
              <w:sz w:val="36"/>
              <w:szCs w:val="36"/>
            </w:rPr>
          </w:pPr>
          <w:bookmarkStart w:id="0" w:name="_Toc1101"/>
          <w:r>
            <w:rPr>
              <w:lang w:val="zh-CN"/>
            </w:rPr>
            <w:tab/>
          </w:r>
          <w:r>
            <w:rPr>
              <w:lang w:val="zh-CN"/>
            </w:rPr>
            <w:tab/>
          </w:r>
          <w:r>
            <w:rPr>
              <w:sz w:val="36"/>
              <w:szCs w:val="36"/>
              <w:lang w:val="zh-CN"/>
            </w:rPr>
            <w:t>目</w:t>
          </w:r>
          <w:r>
            <w:rPr>
              <w:rFonts w:hint="eastAsia"/>
              <w:sz w:val="36"/>
              <w:szCs w:val="36"/>
              <w:lang w:val="zh-CN"/>
            </w:rPr>
            <w:t xml:space="preserve">    </w:t>
          </w:r>
          <w:r>
            <w:rPr>
              <w:sz w:val="36"/>
              <w:szCs w:val="36"/>
              <w:lang w:val="zh-CN"/>
            </w:rPr>
            <w:t>录</w:t>
          </w:r>
        </w:p>
        <w:p>
          <w:pPr>
            <w:pStyle w:val="12"/>
            <w:tabs>
              <w:tab w:val="right" w:leader="dot" w:pos="9736"/>
            </w:tabs>
          </w:pPr>
        </w:p>
        <w:p>
          <w:pPr>
            <w:pStyle w:val="11"/>
            <w:tabs>
              <w:tab w:val="right" w:leader="dot" w:pos="9736"/>
            </w:tabs>
            <w:spacing w:line="360" w:lineRule="auto"/>
            <w:rPr>
              <w:rFonts w:asciiTheme="minorHAnsi" w:hAnsiTheme="minorHAnsi" w:eastAsiaTheme="minorEastAsia" w:cstheme="minorBidi"/>
              <w:sz w:val="24"/>
            </w:rPr>
          </w:pPr>
          <w:r>
            <w:fldChar w:fldCharType="begin"/>
          </w:r>
          <w:r>
            <w:instrText xml:space="preserve"> TOC \o "1-3" \h \z \u </w:instrText>
          </w:r>
          <w:r>
            <w:fldChar w:fldCharType="separate"/>
          </w:r>
          <w:r>
            <w:fldChar w:fldCharType="begin"/>
          </w:r>
          <w:r>
            <w:instrText xml:space="preserve"> HYPERLINK \l "_Toc471905901" </w:instrText>
          </w:r>
          <w:r>
            <w:fldChar w:fldCharType="separate"/>
          </w:r>
          <w:r>
            <w:rPr>
              <w:rStyle w:val="18"/>
              <w:rFonts w:ascii="黑体" w:hAnsi="黑体" w:eastAsia="黑体" w:cs="黑体"/>
              <w:color w:val="auto"/>
              <w:sz w:val="24"/>
              <w:szCs w:val="24"/>
            </w:rPr>
            <w:t>1.</w:t>
          </w:r>
          <w:r>
            <w:rPr>
              <w:rStyle w:val="18"/>
              <w:rFonts w:hint="eastAsia" w:ascii="黑体" w:hAnsi="黑体" w:eastAsia="黑体" w:cs="黑体"/>
              <w:color w:val="auto"/>
              <w:sz w:val="24"/>
              <w:szCs w:val="24"/>
            </w:rPr>
            <w:t>学校情况</w:t>
          </w:r>
          <w:r>
            <w:rPr>
              <w:sz w:val="24"/>
            </w:rPr>
            <w:tab/>
          </w:r>
          <w:r>
            <w:rPr>
              <w:sz w:val="24"/>
            </w:rPr>
            <w:fldChar w:fldCharType="begin"/>
          </w:r>
          <w:r>
            <w:rPr>
              <w:sz w:val="24"/>
            </w:rPr>
            <w:instrText xml:space="preserve"> PAGEREF _Toc471905901 \h </w:instrText>
          </w:r>
          <w:r>
            <w:rPr>
              <w:sz w:val="24"/>
            </w:rPr>
            <w:fldChar w:fldCharType="separate"/>
          </w:r>
          <w:r>
            <w:rPr>
              <w:sz w:val="24"/>
            </w:rPr>
            <w:t>1</w:t>
          </w:r>
          <w:r>
            <w:rPr>
              <w:sz w:val="24"/>
            </w:rPr>
            <w:fldChar w:fldCharType="end"/>
          </w:r>
          <w:r>
            <w:rPr>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sz w:val="24"/>
            </w:rPr>
          </w:pPr>
          <w:r>
            <w:fldChar w:fldCharType="begin"/>
          </w:r>
          <w:r>
            <w:instrText xml:space="preserve"> HYPERLINK \l "_Toc471905902" </w:instrText>
          </w:r>
          <w:r>
            <w:fldChar w:fldCharType="separate"/>
          </w:r>
          <w:r>
            <w:rPr>
              <w:rStyle w:val="18"/>
              <w:color w:val="auto"/>
              <w:sz w:val="24"/>
              <w:szCs w:val="24"/>
            </w:rPr>
            <w:t>1.1</w:t>
          </w:r>
          <w:r>
            <w:rPr>
              <w:rStyle w:val="18"/>
              <w:rFonts w:hint="eastAsia"/>
              <w:color w:val="auto"/>
              <w:sz w:val="24"/>
              <w:szCs w:val="24"/>
            </w:rPr>
            <w:t>学校概况</w:t>
          </w:r>
          <w:r>
            <w:rPr>
              <w:sz w:val="24"/>
            </w:rPr>
            <w:tab/>
          </w:r>
          <w:r>
            <w:rPr>
              <w:rFonts w:hint="eastAsia"/>
              <w:sz w:val="24"/>
              <w:lang w:val="en-US" w:eastAsia="zh-CN"/>
            </w:rPr>
            <w:t>1</w:t>
          </w:r>
          <w:r>
            <w:rPr>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sz w:val="24"/>
            </w:rPr>
          </w:pPr>
          <w:r>
            <w:fldChar w:fldCharType="begin"/>
          </w:r>
          <w:r>
            <w:instrText xml:space="preserve"> HYPERLINK \l "_Toc471905903" </w:instrText>
          </w:r>
          <w:r>
            <w:fldChar w:fldCharType="separate"/>
          </w:r>
          <w:r>
            <w:rPr>
              <w:rStyle w:val="18"/>
              <w:color w:val="auto"/>
              <w:sz w:val="24"/>
              <w:szCs w:val="24"/>
            </w:rPr>
            <w:t>1.2</w:t>
          </w:r>
          <w:r>
            <w:rPr>
              <w:rStyle w:val="18"/>
              <w:rFonts w:hint="eastAsia"/>
              <w:color w:val="auto"/>
              <w:sz w:val="24"/>
              <w:szCs w:val="24"/>
            </w:rPr>
            <w:t>学生情况</w:t>
          </w:r>
          <w:r>
            <w:rPr>
              <w:sz w:val="24"/>
            </w:rPr>
            <w:tab/>
          </w:r>
          <w:r>
            <w:rPr>
              <w:sz w:val="24"/>
            </w:rPr>
            <w:fldChar w:fldCharType="begin"/>
          </w:r>
          <w:r>
            <w:rPr>
              <w:sz w:val="24"/>
            </w:rPr>
            <w:instrText xml:space="preserve"> PAGEREF _Toc471905903 \h </w:instrText>
          </w:r>
          <w:r>
            <w:rPr>
              <w:sz w:val="24"/>
            </w:rPr>
            <w:fldChar w:fldCharType="separate"/>
          </w:r>
          <w:r>
            <w:rPr>
              <w:sz w:val="24"/>
            </w:rPr>
            <w:t>1</w:t>
          </w:r>
          <w:r>
            <w:rPr>
              <w:sz w:val="24"/>
            </w:rPr>
            <w:fldChar w:fldCharType="end"/>
          </w:r>
          <w:r>
            <w:rPr>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sz w:val="24"/>
            </w:rPr>
          </w:pPr>
          <w:r>
            <w:fldChar w:fldCharType="begin"/>
          </w:r>
          <w:r>
            <w:instrText xml:space="preserve"> HYPERLINK \l "_Toc471905904" </w:instrText>
          </w:r>
          <w:r>
            <w:fldChar w:fldCharType="separate"/>
          </w:r>
          <w:r>
            <w:rPr>
              <w:rStyle w:val="18"/>
              <w:color w:val="auto"/>
              <w:sz w:val="24"/>
              <w:szCs w:val="24"/>
            </w:rPr>
            <w:t>1.3</w:t>
          </w:r>
          <w:r>
            <w:rPr>
              <w:rStyle w:val="18"/>
              <w:rFonts w:hint="eastAsia"/>
              <w:color w:val="auto"/>
              <w:sz w:val="24"/>
              <w:szCs w:val="24"/>
            </w:rPr>
            <w:t>教师队伍</w:t>
          </w:r>
          <w:r>
            <w:rPr>
              <w:sz w:val="24"/>
            </w:rPr>
            <w:tab/>
          </w:r>
          <w:r>
            <w:rPr>
              <w:rFonts w:hint="eastAsia"/>
              <w:sz w:val="24"/>
            </w:rPr>
            <w:t>3</w:t>
          </w:r>
          <w:r>
            <w:rPr>
              <w:rFonts w:hint="eastAsia"/>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sz w:val="24"/>
            </w:rPr>
          </w:pPr>
          <w:r>
            <w:fldChar w:fldCharType="begin"/>
          </w:r>
          <w:r>
            <w:instrText xml:space="preserve"> HYPERLINK \l "_Toc471905905" </w:instrText>
          </w:r>
          <w:r>
            <w:fldChar w:fldCharType="separate"/>
          </w:r>
          <w:r>
            <w:rPr>
              <w:rStyle w:val="18"/>
              <w:color w:val="auto"/>
              <w:sz w:val="24"/>
              <w:szCs w:val="24"/>
            </w:rPr>
            <w:t>1.4</w:t>
          </w:r>
          <w:r>
            <w:rPr>
              <w:rStyle w:val="18"/>
              <w:rFonts w:hint="eastAsia"/>
              <w:color w:val="auto"/>
              <w:sz w:val="24"/>
              <w:szCs w:val="24"/>
            </w:rPr>
            <w:t>设施设备</w:t>
          </w:r>
          <w:r>
            <w:rPr>
              <w:sz w:val="24"/>
            </w:rPr>
            <w:tab/>
          </w:r>
          <w:r>
            <w:rPr>
              <w:rFonts w:hint="eastAsia"/>
              <w:sz w:val="24"/>
              <w:lang w:val="en-US" w:eastAsia="zh-CN"/>
            </w:rPr>
            <w:t>3</w:t>
          </w:r>
          <w:r>
            <w:rPr>
              <w:sz w:val="24"/>
            </w:rPr>
            <w:fldChar w:fldCharType="end"/>
          </w:r>
          <w:bookmarkStart w:id="105" w:name="_GoBack"/>
          <w:bookmarkEnd w:id="105"/>
        </w:p>
        <w:p>
          <w:pPr>
            <w:pStyle w:val="11"/>
            <w:tabs>
              <w:tab w:val="right" w:leader="dot" w:pos="9736"/>
            </w:tabs>
            <w:spacing w:line="360" w:lineRule="auto"/>
            <w:rPr>
              <w:rFonts w:asciiTheme="minorHAnsi" w:hAnsiTheme="minorHAnsi" w:eastAsiaTheme="minorEastAsia" w:cstheme="minorBidi"/>
              <w:sz w:val="24"/>
            </w:rPr>
          </w:pPr>
          <w:r>
            <w:fldChar w:fldCharType="begin"/>
          </w:r>
          <w:r>
            <w:instrText xml:space="preserve"> HYPERLINK \l "_Toc471905906" </w:instrText>
          </w:r>
          <w:r>
            <w:fldChar w:fldCharType="separate"/>
          </w:r>
          <w:r>
            <w:rPr>
              <w:rStyle w:val="18"/>
              <w:rFonts w:ascii="黑体" w:hAnsi="黑体" w:eastAsia="黑体" w:cs="黑体"/>
              <w:color w:val="auto"/>
              <w:sz w:val="24"/>
              <w:szCs w:val="24"/>
            </w:rPr>
            <w:t>2.</w:t>
          </w:r>
          <w:r>
            <w:rPr>
              <w:rStyle w:val="18"/>
              <w:rFonts w:hint="eastAsia" w:ascii="黑体" w:hAnsi="黑体" w:eastAsia="黑体" w:cs="黑体"/>
              <w:color w:val="auto"/>
              <w:sz w:val="24"/>
              <w:szCs w:val="24"/>
            </w:rPr>
            <w:t>学生发展</w:t>
          </w:r>
          <w:r>
            <w:rPr>
              <w:sz w:val="24"/>
            </w:rPr>
            <w:tab/>
          </w:r>
          <w:r>
            <w:rPr>
              <w:sz w:val="24"/>
            </w:rPr>
            <w:fldChar w:fldCharType="begin"/>
          </w:r>
          <w:r>
            <w:rPr>
              <w:sz w:val="24"/>
            </w:rPr>
            <w:instrText xml:space="preserve"> PAGEREF _Toc471905906 \h </w:instrText>
          </w:r>
          <w:r>
            <w:rPr>
              <w:sz w:val="24"/>
            </w:rPr>
            <w:fldChar w:fldCharType="separate"/>
          </w:r>
          <w:r>
            <w:rPr>
              <w:sz w:val="24"/>
            </w:rPr>
            <w:t>4</w:t>
          </w:r>
          <w:r>
            <w:rPr>
              <w:sz w:val="24"/>
            </w:rPr>
            <w:fldChar w:fldCharType="end"/>
          </w:r>
          <w:r>
            <w:rPr>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sz w:val="24"/>
            </w:rPr>
          </w:pPr>
          <w:r>
            <w:fldChar w:fldCharType="begin"/>
          </w:r>
          <w:r>
            <w:instrText xml:space="preserve"> HYPERLINK \l "_Toc471905907" </w:instrText>
          </w:r>
          <w:r>
            <w:fldChar w:fldCharType="separate"/>
          </w:r>
          <w:r>
            <w:rPr>
              <w:rStyle w:val="18"/>
              <w:color w:val="auto"/>
              <w:sz w:val="24"/>
              <w:szCs w:val="24"/>
            </w:rPr>
            <w:t>2.1</w:t>
          </w:r>
          <w:r>
            <w:rPr>
              <w:rStyle w:val="18"/>
              <w:rFonts w:hint="eastAsia"/>
              <w:color w:val="auto"/>
              <w:sz w:val="24"/>
              <w:szCs w:val="24"/>
            </w:rPr>
            <w:t>学生素质</w:t>
          </w:r>
          <w:r>
            <w:rPr>
              <w:sz w:val="24"/>
            </w:rPr>
            <w:tab/>
          </w:r>
          <w:r>
            <w:rPr>
              <w:sz w:val="24"/>
            </w:rPr>
            <w:fldChar w:fldCharType="begin"/>
          </w:r>
          <w:r>
            <w:rPr>
              <w:sz w:val="24"/>
            </w:rPr>
            <w:instrText xml:space="preserve"> PAGEREF _Toc471905907 \h </w:instrText>
          </w:r>
          <w:r>
            <w:rPr>
              <w:sz w:val="24"/>
            </w:rPr>
            <w:fldChar w:fldCharType="separate"/>
          </w:r>
          <w:r>
            <w:rPr>
              <w:sz w:val="24"/>
            </w:rPr>
            <w:t>4</w:t>
          </w:r>
          <w:r>
            <w:rPr>
              <w:sz w:val="24"/>
            </w:rPr>
            <w:fldChar w:fldCharType="end"/>
          </w:r>
          <w:r>
            <w:rPr>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sz w:val="24"/>
            </w:rPr>
          </w:pPr>
          <w:r>
            <w:fldChar w:fldCharType="begin"/>
          </w:r>
          <w:r>
            <w:instrText xml:space="preserve"> HYPERLINK \l "_Toc471905908" </w:instrText>
          </w:r>
          <w:r>
            <w:fldChar w:fldCharType="separate"/>
          </w:r>
          <w:r>
            <w:rPr>
              <w:rStyle w:val="18"/>
              <w:color w:val="auto"/>
              <w:sz w:val="24"/>
              <w:szCs w:val="24"/>
            </w:rPr>
            <w:t>2.2</w:t>
          </w:r>
          <w:r>
            <w:rPr>
              <w:rStyle w:val="18"/>
              <w:rFonts w:hint="eastAsia"/>
              <w:color w:val="auto"/>
              <w:sz w:val="24"/>
              <w:szCs w:val="24"/>
            </w:rPr>
            <w:t>在校体验</w:t>
          </w:r>
          <w:r>
            <w:rPr>
              <w:sz w:val="24"/>
            </w:rPr>
            <w:tab/>
          </w:r>
          <w:r>
            <w:rPr>
              <w:rFonts w:hint="eastAsia"/>
              <w:sz w:val="24"/>
            </w:rPr>
            <w:t>5</w:t>
          </w:r>
          <w:r>
            <w:rPr>
              <w:rFonts w:hint="eastAsia"/>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sz w:val="24"/>
            </w:rPr>
          </w:pPr>
          <w:r>
            <w:fldChar w:fldCharType="begin"/>
          </w:r>
          <w:r>
            <w:instrText xml:space="preserve"> HYPERLINK \l "_Toc471905909" </w:instrText>
          </w:r>
          <w:r>
            <w:fldChar w:fldCharType="separate"/>
          </w:r>
          <w:r>
            <w:rPr>
              <w:rStyle w:val="18"/>
              <w:color w:val="auto"/>
              <w:sz w:val="24"/>
              <w:szCs w:val="24"/>
            </w:rPr>
            <w:t>2.3</w:t>
          </w:r>
          <w:r>
            <w:rPr>
              <w:rStyle w:val="18"/>
              <w:rFonts w:hint="eastAsia"/>
              <w:color w:val="auto"/>
              <w:sz w:val="24"/>
              <w:szCs w:val="24"/>
            </w:rPr>
            <w:t>资助情况</w:t>
          </w:r>
          <w:r>
            <w:rPr>
              <w:sz w:val="24"/>
            </w:rPr>
            <w:tab/>
          </w:r>
          <w:r>
            <w:rPr>
              <w:rFonts w:hint="eastAsia"/>
              <w:sz w:val="24"/>
              <w:lang w:val="en-US" w:eastAsia="zh-CN"/>
            </w:rPr>
            <w:t>5</w:t>
          </w:r>
          <w:r>
            <w:rPr>
              <w:rFonts w:hint="eastAsia"/>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sz w:val="24"/>
            </w:rPr>
          </w:pPr>
          <w:r>
            <w:fldChar w:fldCharType="begin"/>
          </w:r>
          <w:r>
            <w:instrText xml:space="preserve"> HYPERLINK \l "_Toc471905912" </w:instrText>
          </w:r>
          <w:r>
            <w:fldChar w:fldCharType="separate"/>
          </w:r>
          <w:r>
            <w:rPr>
              <w:rStyle w:val="18"/>
              <w:color w:val="auto"/>
              <w:sz w:val="24"/>
              <w:szCs w:val="24"/>
            </w:rPr>
            <w:t>2.4</w:t>
          </w:r>
          <w:r>
            <w:rPr>
              <w:rStyle w:val="18"/>
              <w:rFonts w:hint="eastAsia"/>
              <w:color w:val="auto"/>
              <w:sz w:val="24"/>
              <w:szCs w:val="24"/>
            </w:rPr>
            <w:t>就业质量</w:t>
          </w:r>
          <w:r>
            <w:rPr>
              <w:sz w:val="24"/>
            </w:rPr>
            <w:tab/>
          </w:r>
          <w:r>
            <w:rPr>
              <w:rFonts w:hint="eastAsia"/>
              <w:sz w:val="24"/>
            </w:rPr>
            <w:t>6</w:t>
          </w:r>
          <w:r>
            <w:rPr>
              <w:rFonts w:hint="eastAsia"/>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sz w:val="24"/>
            </w:rPr>
          </w:pPr>
          <w:r>
            <w:fldChar w:fldCharType="begin"/>
          </w:r>
          <w:r>
            <w:instrText xml:space="preserve"> HYPERLINK \l "_Toc471905915" </w:instrText>
          </w:r>
          <w:r>
            <w:fldChar w:fldCharType="separate"/>
          </w:r>
          <w:r>
            <w:rPr>
              <w:rStyle w:val="18"/>
              <w:color w:val="auto"/>
              <w:sz w:val="24"/>
              <w:szCs w:val="24"/>
            </w:rPr>
            <w:t>2.5</w:t>
          </w:r>
          <w:r>
            <w:rPr>
              <w:rStyle w:val="18"/>
              <w:rFonts w:hint="eastAsia"/>
              <w:color w:val="auto"/>
              <w:sz w:val="24"/>
              <w:szCs w:val="24"/>
            </w:rPr>
            <w:t>职业发展</w:t>
          </w:r>
          <w:r>
            <w:rPr>
              <w:sz w:val="24"/>
            </w:rPr>
            <w:tab/>
          </w:r>
          <w:r>
            <w:rPr>
              <w:rFonts w:hint="eastAsia"/>
              <w:sz w:val="24"/>
            </w:rPr>
            <w:t>6</w:t>
          </w:r>
          <w:r>
            <w:rPr>
              <w:rFonts w:hint="eastAsia"/>
              <w:sz w:val="24"/>
            </w:rPr>
            <w:fldChar w:fldCharType="end"/>
          </w:r>
        </w:p>
        <w:p>
          <w:pPr>
            <w:pStyle w:val="11"/>
            <w:tabs>
              <w:tab w:val="right" w:leader="dot" w:pos="9736"/>
            </w:tabs>
            <w:spacing w:line="360" w:lineRule="auto"/>
            <w:rPr>
              <w:rFonts w:asciiTheme="minorHAnsi" w:hAnsiTheme="minorHAnsi" w:eastAsiaTheme="minorEastAsia" w:cstheme="minorBidi"/>
              <w:sz w:val="24"/>
            </w:rPr>
          </w:pPr>
          <w:r>
            <w:fldChar w:fldCharType="begin"/>
          </w:r>
          <w:r>
            <w:instrText xml:space="preserve"> HYPERLINK \l "_Toc471905916" </w:instrText>
          </w:r>
          <w:r>
            <w:fldChar w:fldCharType="separate"/>
          </w:r>
          <w:r>
            <w:rPr>
              <w:rStyle w:val="18"/>
              <w:rFonts w:ascii="黑体" w:hAnsi="黑体" w:eastAsia="黑体" w:cs="黑体"/>
              <w:color w:val="auto"/>
              <w:sz w:val="24"/>
              <w:szCs w:val="24"/>
            </w:rPr>
            <w:t>3.</w:t>
          </w:r>
          <w:r>
            <w:rPr>
              <w:rStyle w:val="18"/>
              <w:rFonts w:hint="eastAsia" w:ascii="黑体" w:hAnsi="黑体" w:eastAsia="黑体" w:cs="黑体"/>
              <w:color w:val="auto"/>
              <w:sz w:val="24"/>
              <w:szCs w:val="24"/>
            </w:rPr>
            <w:t>质量保障措施</w:t>
          </w:r>
          <w:r>
            <w:rPr>
              <w:sz w:val="24"/>
            </w:rPr>
            <w:tab/>
          </w:r>
          <w:r>
            <w:rPr>
              <w:rFonts w:hint="eastAsia"/>
              <w:sz w:val="24"/>
            </w:rPr>
            <w:t>7</w:t>
          </w:r>
          <w:r>
            <w:rPr>
              <w:rFonts w:hint="eastAsia"/>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sz w:val="24"/>
            </w:rPr>
          </w:pPr>
          <w:r>
            <w:fldChar w:fldCharType="begin"/>
          </w:r>
          <w:r>
            <w:instrText xml:space="preserve"> HYPERLINK \l "_Toc471905917" </w:instrText>
          </w:r>
          <w:r>
            <w:fldChar w:fldCharType="separate"/>
          </w:r>
          <w:r>
            <w:rPr>
              <w:rStyle w:val="18"/>
              <w:color w:val="auto"/>
              <w:sz w:val="24"/>
              <w:szCs w:val="24"/>
            </w:rPr>
            <w:t>3.1</w:t>
          </w:r>
          <w:r>
            <w:rPr>
              <w:rStyle w:val="18"/>
              <w:rFonts w:hint="eastAsia"/>
              <w:color w:val="auto"/>
              <w:sz w:val="24"/>
              <w:szCs w:val="24"/>
            </w:rPr>
            <w:t>专业动态调整</w:t>
          </w:r>
          <w:r>
            <w:rPr>
              <w:sz w:val="24"/>
            </w:rPr>
            <w:tab/>
          </w:r>
          <w:r>
            <w:rPr>
              <w:rFonts w:hint="eastAsia"/>
              <w:sz w:val="24"/>
            </w:rPr>
            <w:t>7</w:t>
          </w:r>
          <w:r>
            <w:rPr>
              <w:rFonts w:hint="eastAsia"/>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sz w:val="24"/>
            </w:rPr>
          </w:pPr>
          <w:r>
            <w:fldChar w:fldCharType="begin"/>
          </w:r>
          <w:r>
            <w:instrText xml:space="preserve"> HYPERLINK \l "_Toc471905919" </w:instrText>
          </w:r>
          <w:r>
            <w:fldChar w:fldCharType="separate"/>
          </w:r>
          <w:r>
            <w:rPr>
              <w:rStyle w:val="18"/>
              <w:color w:val="auto"/>
              <w:sz w:val="24"/>
              <w:szCs w:val="24"/>
            </w:rPr>
            <w:t>3.2</w:t>
          </w:r>
          <w:r>
            <w:rPr>
              <w:rStyle w:val="18"/>
              <w:rFonts w:hint="eastAsia"/>
              <w:color w:val="auto"/>
              <w:sz w:val="24"/>
              <w:szCs w:val="24"/>
            </w:rPr>
            <w:t>教育教学改革</w:t>
          </w:r>
          <w:r>
            <w:rPr>
              <w:sz w:val="24"/>
            </w:rPr>
            <w:tab/>
          </w:r>
          <w:r>
            <w:rPr>
              <w:rFonts w:hint="eastAsia"/>
              <w:sz w:val="24"/>
            </w:rPr>
            <w:t>7</w:t>
          </w:r>
          <w:r>
            <w:rPr>
              <w:rFonts w:hint="eastAsia"/>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sz w:val="24"/>
            </w:rPr>
          </w:pPr>
          <w:r>
            <w:fldChar w:fldCharType="begin"/>
          </w:r>
          <w:r>
            <w:instrText xml:space="preserve"> HYPERLINK \l "_Toc471905920" </w:instrText>
          </w:r>
          <w:r>
            <w:fldChar w:fldCharType="separate"/>
          </w:r>
          <w:r>
            <w:rPr>
              <w:rStyle w:val="18"/>
              <w:color w:val="auto"/>
              <w:sz w:val="24"/>
              <w:szCs w:val="24"/>
            </w:rPr>
            <w:t>3.</w:t>
          </w:r>
          <w:r>
            <w:rPr>
              <w:rStyle w:val="18"/>
              <w:rFonts w:hint="eastAsia"/>
              <w:color w:val="auto"/>
              <w:sz w:val="24"/>
              <w:szCs w:val="24"/>
            </w:rPr>
            <w:t>3教师培养培训</w:t>
          </w:r>
          <w:r>
            <w:rPr>
              <w:sz w:val="24"/>
            </w:rPr>
            <w:tab/>
          </w:r>
          <w:r>
            <w:rPr>
              <w:rFonts w:hint="eastAsia"/>
              <w:sz w:val="24"/>
            </w:rPr>
            <w:t>8</w:t>
          </w:r>
          <w:r>
            <w:rPr>
              <w:rFonts w:hint="eastAsia"/>
              <w:sz w:val="24"/>
            </w:rPr>
            <w:fldChar w:fldCharType="end"/>
          </w:r>
        </w:p>
        <w:p>
          <w:pPr>
            <w:pStyle w:val="12"/>
            <w:tabs>
              <w:tab w:val="right" w:leader="dot" w:pos="9736"/>
            </w:tabs>
            <w:spacing w:line="360" w:lineRule="auto"/>
            <w:ind w:left="0" w:leftChars="0" w:firstLine="210" w:firstLineChars="100"/>
            <w:rPr>
              <w:rFonts w:asciiTheme="minorHAnsi" w:hAnsiTheme="minorHAnsi" w:eastAsiaTheme="minorEastAsia" w:cstheme="minorBidi"/>
              <w:sz w:val="24"/>
            </w:rPr>
          </w:pPr>
          <w:r>
            <w:fldChar w:fldCharType="begin"/>
          </w:r>
          <w:r>
            <w:instrText xml:space="preserve"> HYPERLINK \l "_Toc471905922" </w:instrText>
          </w:r>
          <w:r>
            <w:fldChar w:fldCharType="separate"/>
          </w:r>
          <w:r>
            <w:rPr>
              <w:rStyle w:val="18"/>
              <w:color w:val="auto"/>
              <w:sz w:val="24"/>
              <w:szCs w:val="24"/>
            </w:rPr>
            <w:t>3.</w:t>
          </w:r>
          <w:r>
            <w:rPr>
              <w:rStyle w:val="18"/>
              <w:rFonts w:hint="eastAsia"/>
              <w:color w:val="auto"/>
              <w:sz w:val="24"/>
              <w:szCs w:val="24"/>
            </w:rPr>
            <w:t>4规范管理</w:t>
          </w:r>
          <w:r>
            <w:rPr>
              <w:sz w:val="24"/>
            </w:rPr>
            <w:tab/>
          </w:r>
          <w:r>
            <w:rPr>
              <w:rFonts w:hint="eastAsia"/>
              <w:sz w:val="24"/>
            </w:rPr>
            <w:t>9</w:t>
          </w:r>
          <w:r>
            <w:rPr>
              <w:rFonts w:hint="eastAsia"/>
              <w:sz w:val="24"/>
            </w:rPr>
            <w:fldChar w:fldCharType="end"/>
          </w:r>
        </w:p>
        <w:p>
          <w:pPr>
            <w:pStyle w:val="12"/>
            <w:tabs>
              <w:tab w:val="right" w:leader="dot" w:pos="9736"/>
            </w:tabs>
            <w:spacing w:line="360" w:lineRule="auto"/>
            <w:rPr>
              <w:rFonts w:asciiTheme="minorHAnsi" w:hAnsiTheme="minorHAnsi" w:eastAsiaTheme="minorEastAsia" w:cstheme="minorBidi"/>
              <w:sz w:val="24"/>
            </w:rPr>
          </w:pPr>
          <w:r>
            <w:fldChar w:fldCharType="begin"/>
          </w:r>
          <w:r>
            <w:instrText xml:space="preserve"> HYPERLINK \l "_Toc471905923" </w:instrText>
          </w:r>
          <w:r>
            <w:fldChar w:fldCharType="separate"/>
          </w:r>
          <w:r>
            <w:rPr>
              <w:rStyle w:val="18"/>
              <w:rFonts w:ascii="黑体" w:hAnsi="黑体"/>
              <w:color w:val="auto"/>
              <w:sz w:val="24"/>
              <w:szCs w:val="24"/>
            </w:rPr>
            <w:t>3.4.1</w:t>
          </w:r>
          <w:r>
            <w:rPr>
              <w:rStyle w:val="18"/>
              <w:rFonts w:hint="eastAsia" w:ascii="黑体" w:hAnsi="黑体"/>
              <w:color w:val="auto"/>
              <w:sz w:val="24"/>
              <w:szCs w:val="24"/>
            </w:rPr>
            <w:t>教学管理</w:t>
          </w:r>
          <w:r>
            <w:rPr>
              <w:sz w:val="24"/>
            </w:rPr>
            <w:tab/>
          </w:r>
          <w:r>
            <w:rPr>
              <w:rFonts w:hint="eastAsia"/>
              <w:sz w:val="24"/>
            </w:rPr>
            <w:t>9</w:t>
          </w:r>
          <w:r>
            <w:rPr>
              <w:rFonts w:hint="eastAsia"/>
              <w:sz w:val="24"/>
            </w:rPr>
            <w:fldChar w:fldCharType="end"/>
          </w:r>
        </w:p>
        <w:p>
          <w:pPr>
            <w:pStyle w:val="12"/>
            <w:tabs>
              <w:tab w:val="right" w:leader="dot" w:pos="9736"/>
            </w:tabs>
            <w:spacing w:line="360" w:lineRule="auto"/>
            <w:rPr>
              <w:rFonts w:asciiTheme="minorHAnsi" w:hAnsiTheme="minorHAnsi" w:eastAsiaTheme="minorEastAsia" w:cstheme="minorBidi"/>
              <w:sz w:val="24"/>
            </w:rPr>
          </w:pPr>
          <w:r>
            <w:fldChar w:fldCharType="begin"/>
          </w:r>
          <w:r>
            <w:instrText xml:space="preserve"> HYPERLINK \l "_Toc471905924" </w:instrText>
          </w:r>
          <w:r>
            <w:fldChar w:fldCharType="separate"/>
          </w:r>
          <w:r>
            <w:rPr>
              <w:rStyle w:val="18"/>
              <w:rFonts w:ascii="黑体" w:hAnsi="黑体"/>
              <w:color w:val="auto"/>
              <w:sz w:val="24"/>
              <w:szCs w:val="24"/>
            </w:rPr>
            <w:t>3.4.2</w:t>
          </w:r>
          <w:r>
            <w:rPr>
              <w:rStyle w:val="18"/>
              <w:rFonts w:hint="eastAsia" w:ascii="黑体" w:hAnsi="黑体"/>
              <w:color w:val="auto"/>
              <w:sz w:val="24"/>
              <w:szCs w:val="24"/>
            </w:rPr>
            <w:t>学生管理</w:t>
          </w:r>
          <w:r>
            <w:rPr>
              <w:sz w:val="24"/>
            </w:rPr>
            <w:tab/>
          </w:r>
          <w:r>
            <w:rPr>
              <w:sz w:val="24"/>
            </w:rPr>
            <w:fldChar w:fldCharType="begin"/>
          </w:r>
          <w:r>
            <w:rPr>
              <w:sz w:val="24"/>
            </w:rPr>
            <w:instrText xml:space="preserve"> PAGEREF _Toc471905924 \h </w:instrText>
          </w:r>
          <w:r>
            <w:rPr>
              <w:sz w:val="24"/>
            </w:rPr>
            <w:fldChar w:fldCharType="separate"/>
          </w:r>
          <w:r>
            <w:rPr>
              <w:sz w:val="24"/>
            </w:rPr>
            <w:t>9</w:t>
          </w:r>
          <w:r>
            <w:rPr>
              <w:sz w:val="24"/>
            </w:rPr>
            <w:fldChar w:fldCharType="end"/>
          </w:r>
          <w:r>
            <w:rPr>
              <w:sz w:val="24"/>
            </w:rPr>
            <w:fldChar w:fldCharType="end"/>
          </w:r>
        </w:p>
        <w:p>
          <w:pPr>
            <w:pStyle w:val="12"/>
            <w:tabs>
              <w:tab w:val="right" w:leader="dot" w:pos="9736"/>
            </w:tabs>
            <w:spacing w:line="360" w:lineRule="auto"/>
            <w:rPr>
              <w:rFonts w:asciiTheme="minorHAnsi" w:hAnsiTheme="minorHAnsi" w:cstheme="minorBidi"/>
              <w:sz w:val="24"/>
            </w:rPr>
          </w:pPr>
          <w:r>
            <w:fldChar w:fldCharType="begin"/>
          </w:r>
          <w:r>
            <w:instrText xml:space="preserve"> HYPERLINK \l "_Toc471905926" </w:instrText>
          </w:r>
          <w:r>
            <w:fldChar w:fldCharType="separate"/>
          </w:r>
          <w:r>
            <w:rPr>
              <w:rStyle w:val="18"/>
              <w:rFonts w:ascii="黑体" w:hAnsi="黑体"/>
              <w:color w:val="auto"/>
              <w:sz w:val="24"/>
              <w:szCs w:val="24"/>
            </w:rPr>
            <w:t>3.4.3</w:t>
          </w:r>
          <w:r>
            <w:rPr>
              <w:rStyle w:val="18"/>
              <w:rFonts w:hint="eastAsia" w:ascii="黑体" w:hAnsi="黑体"/>
              <w:color w:val="auto"/>
              <w:sz w:val="24"/>
              <w:szCs w:val="24"/>
            </w:rPr>
            <w:t>财务管理</w:t>
          </w:r>
          <w:r>
            <w:rPr>
              <w:sz w:val="24"/>
            </w:rPr>
            <w:tab/>
          </w:r>
          <w:r>
            <w:rPr>
              <w:rFonts w:hint="eastAsia"/>
              <w:sz w:val="24"/>
            </w:rPr>
            <w:t>1</w:t>
          </w:r>
          <w:r>
            <w:rPr>
              <w:rFonts w:hint="eastAsia"/>
              <w:sz w:val="24"/>
            </w:rPr>
            <w:fldChar w:fldCharType="end"/>
          </w:r>
          <w:r>
            <w:rPr>
              <w:rFonts w:hint="eastAsia"/>
              <w:sz w:val="24"/>
            </w:rPr>
            <w:t>0</w:t>
          </w:r>
        </w:p>
        <w:p>
          <w:pPr>
            <w:pStyle w:val="12"/>
            <w:tabs>
              <w:tab w:val="right" w:leader="dot" w:pos="9736"/>
            </w:tabs>
            <w:spacing w:line="360" w:lineRule="auto"/>
            <w:rPr>
              <w:rFonts w:asciiTheme="minorHAnsi" w:hAnsiTheme="minorHAnsi" w:eastAsiaTheme="minorEastAsia" w:cstheme="minorBidi"/>
              <w:sz w:val="24"/>
            </w:rPr>
          </w:pPr>
          <w:r>
            <w:fldChar w:fldCharType="begin"/>
          </w:r>
          <w:r>
            <w:instrText xml:space="preserve"> HYPERLINK \l "_Toc471905927" </w:instrText>
          </w:r>
          <w:r>
            <w:fldChar w:fldCharType="separate"/>
          </w:r>
          <w:r>
            <w:rPr>
              <w:rStyle w:val="18"/>
              <w:rFonts w:ascii="黑体" w:hAnsi="黑体"/>
              <w:color w:val="auto"/>
              <w:sz w:val="24"/>
              <w:szCs w:val="24"/>
            </w:rPr>
            <w:t>3.4.4</w:t>
          </w:r>
          <w:r>
            <w:rPr>
              <w:rStyle w:val="18"/>
              <w:rFonts w:hint="eastAsia" w:ascii="黑体" w:hAnsi="黑体"/>
              <w:color w:val="auto"/>
              <w:sz w:val="24"/>
              <w:szCs w:val="24"/>
            </w:rPr>
            <w:t>后勤管理</w:t>
          </w:r>
          <w:r>
            <w:rPr>
              <w:sz w:val="24"/>
            </w:rPr>
            <w:tab/>
          </w:r>
          <w:r>
            <w:rPr>
              <w:sz w:val="24"/>
            </w:rPr>
            <w:fldChar w:fldCharType="begin"/>
          </w:r>
          <w:r>
            <w:rPr>
              <w:sz w:val="24"/>
            </w:rPr>
            <w:instrText xml:space="preserve"> PAGEREF _Toc471905927 \h </w:instrText>
          </w:r>
          <w:r>
            <w:rPr>
              <w:sz w:val="24"/>
            </w:rPr>
            <w:fldChar w:fldCharType="separate"/>
          </w:r>
          <w:r>
            <w:rPr>
              <w:sz w:val="24"/>
            </w:rPr>
            <w:t>10</w:t>
          </w:r>
          <w:r>
            <w:rPr>
              <w:sz w:val="24"/>
            </w:rPr>
            <w:fldChar w:fldCharType="end"/>
          </w:r>
          <w:r>
            <w:rPr>
              <w:sz w:val="24"/>
            </w:rPr>
            <w:fldChar w:fldCharType="end"/>
          </w:r>
        </w:p>
        <w:p>
          <w:pPr>
            <w:pStyle w:val="12"/>
            <w:tabs>
              <w:tab w:val="right" w:leader="dot" w:pos="9736"/>
            </w:tabs>
            <w:spacing w:line="360" w:lineRule="auto"/>
            <w:rPr>
              <w:rFonts w:asciiTheme="minorHAnsi" w:hAnsiTheme="minorHAnsi" w:eastAsiaTheme="minorEastAsia" w:cstheme="minorBidi"/>
              <w:sz w:val="24"/>
            </w:rPr>
          </w:pPr>
          <w:r>
            <w:fldChar w:fldCharType="begin"/>
          </w:r>
          <w:r>
            <w:instrText xml:space="preserve"> HYPERLINK \l "_Toc471905928" </w:instrText>
          </w:r>
          <w:r>
            <w:fldChar w:fldCharType="separate"/>
          </w:r>
          <w:r>
            <w:rPr>
              <w:rStyle w:val="18"/>
              <w:rFonts w:ascii="黑体" w:hAnsi="黑体"/>
              <w:color w:val="auto"/>
              <w:sz w:val="24"/>
              <w:szCs w:val="24"/>
            </w:rPr>
            <w:t>3.4.5</w:t>
          </w:r>
          <w:r>
            <w:rPr>
              <w:rStyle w:val="18"/>
              <w:rFonts w:hint="eastAsia" w:ascii="黑体" w:hAnsi="黑体"/>
              <w:color w:val="auto"/>
              <w:sz w:val="24"/>
              <w:szCs w:val="24"/>
            </w:rPr>
            <w:t>安全管理</w:t>
          </w:r>
          <w:r>
            <w:rPr>
              <w:sz w:val="24"/>
            </w:rPr>
            <w:tab/>
          </w:r>
          <w:r>
            <w:rPr>
              <w:sz w:val="24"/>
            </w:rPr>
            <w:fldChar w:fldCharType="begin"/>
          </w:r>
          <w:r>
            <w:rPr>
              <w:sz w:val="24"/>
            </w:rPr>
            <w:instrText xml:space="preserve"> PAGEREF _Toc471905928 \h </w:instrText>
          </w:r>
          <w:r>
            <w:rPr>
              <w:sz w:val="24"/>
            </w:rPr>
            <w:fldChar w:fldCharType="separate"/>
          </w:r>
          <w:r>
            <w:rPr>
              <w:sz w:val="24"/>
            </w:rPr>
            <w:t>10</w:t>
          </w:r>
          <w:r>
            <w:rPr>
              <w:sz w:val="24"/>
            </w:rPr>
            <w:fldChar w:fldCharType="end"/>
          </w:r>
          <w:r>
            <w:rPr>
              <w:sz w:val="24"/>
            </w:rPr>
            <w:fldChar w:fldCharType="end"/>
          </w:r>
        </w:p>
        <w:p>
          <w:pPr>
            <w:pStyle w:val="12"/>
            <w:tabs>
              <w:tab w:val="right" w:leader="dot" w:pos="9736"/>
            </w:tabs>
            <w:spacing w:line="360" w:lineRule="auto"/>
            <w:rPr>
              <w:rFonts w:asciiTheme="minorHAnsi" w:hAnsiTheme="minorHAnsi" w:cstheme="minorBidi"/>
              <w:sz w:val="24"/>
            </w:rPr>
          </w:pPr>
          <w:r>
            <w:fldChar w:fldCharType="begin"/>
          </w:r>
          <w:r>
            <w:instrText xml:space="preserve"> HYPERLINK \l "_Toc471905929" </w:instrText>
          </w:r>
          <w:r>
            <w:fldChar w:fldCharType="separate"/>
          </w:r>
          <w:r>
            <w:rPr>
              <w:rStyle w:val="18"/>
              <w:rFonts w:ascii="黑体" w:hAnsi="黑体"/>
              <w:color w:val="auto"/>
              <w:sz w:val="24"/>
              <w:szCs w:val="24"/>
            </w:rPr>
            <w:t>3.4.6</w:t>
          </w:r>
          <w:r>
            <w:rPr>
              <w:rStyle w:val="18"/>
              <w:rFonts w:hint="eastAsia" w:ascii="黑体" w:hAnsi="黑体"/>
              <w:color w:val="auto"/>
              <w:sz w:val="24"/>
              <w:szCs w:val="24"/>
            </w:rPr>
            <w:t>科研管理</w:t>
          </w:r>
          <w:r>
            <w:rPr>
              <w:sz w:val="24"/>
            </w:rPr>
            <w:tab/>
          </w:r>
          <w:r>
            <w:rPr>
              <w:rFonts w:hint="eastAsia"/>
              <w:sz w:val="24"/>
            </w:rPr>
            <w:t>1</w:t>
          </w:r>
          <w:r>
            <w:rPr>
              <w:rFonts w:hint="eastAsia"/>
              <w:sz w:val="24"/>
            </w:rPr>
            <w:fldChar w:fldCharType="end"/>
          </w:r>
          <w:r>
            <w:rPr>
              <w:rFonts w:hint="eastAsia"/>
              <w:sz w:val="24"/>
            </w:rPr>
            <w:t>1</w:t>
          </w:r>
        </w:p>
        <w:p>
          <w:pPr>
            <w:pStyle w:val="12"/>
            <w:tabs>
              <w:tab w:val="right" w:leader="dot" w:pos="9736"/>
            </w:tabs>
            <w:spacing w:line="360" w:lineRule="auto"/>
            <w:rPr>
              <w:rFonts w:hint="eastAsia" w:eastAsia="宋体" w:asciiTheme="minorHAnsi" w:hAnsiTheme="minorHAnsi" w:cstheme="minorBidi"/>
              <w:sz w:val="24"/>
              <w:lang w:eastAsia="zh-CN"/>
            </w:rPr>
          </w:pPr>
          <w:r>
            <w:fldChar w:fldCharType="begin"/>
          </w:r>
          <w:r>
            <w:instrText xml:space="preserve"> HYPERLINK \l "_Toc471905930" </w:instrText>
          </w:r>
          <w:r>
            <w:fldChar w:fldCharType="separate"/>
          </w:r>
          <w:r>
            <w:rPr>
              <w:rStyle w:val="18"/>
              <w:rFonts w:ascii="黑体" w:hAnsi="黑体"/>
              <w:color w:val="auto"/>
              <w:sz w:val="24"/>
              <w:szCs w:val="24"/>
            </w:rPr>
            <w:t>3.4.7</w:t>
          </w:r>
          <w:r>
            <w:rPr>
              <w:rStyle w:val="18"/>
              <w:rFonts w:hint="eastAsia" w:ascii="黑体" w:hAnsi="黑体"/>
              <w:color w:val="auto"/>
              <w:sz w:val="24"/>
              <w:szCs w:val="24"/>
            </w:rPr>
            <w:t>管理队伍建设</w:t>
          </w:r>
          <w:r>
            <w:rPr>
              <w:sz w:val="24"/>
            </w:rPr>
            <w:tab/>
          </w:r>
          <w:r>
            <w:rPr>
              <w:rFonts w:hint="eastAsia"/>
              <w:sz w:val="24"/>
            </w:rPr>
            <w:t>1</w:t>
          </w:r>
          <w:r>
            <w:rPr>
              <w:rFonts w:hint="eastAsia"/>
              <w:sz w:val="24"/>
            </w:rPr>
            <w:fldChar w:fldCharType="end"/>
          </w:r>
          <w:r>
            <w:rPr>
              <w:rFonts w:hint="eastAsia"/>
              <w:sz w:val="24"/>
              <w:lang w:val="en-US" w:eastAsia="zh-CN"/>
            </w:rPr>
            <w:t>1</w:t>
          </w:r>
        </w:p>
        <w:p>
          <w:pPr>
            <w:pStyle w:val="12"/>
            <w:tabs>
              <w:tab w:val="right" w:leader="dot" w:pos="9736"/>
            </w:tabs>
            <w:spacing w:line="360" w:lineRule="auto"/>
            <w:rPr>
              <w:rFonts w:asciiTheme="minorHAnsi" w:hAnsiTheme="minorHAnsi" w:cstheme="minorBidi"/>
              <w:sz w:val="24"/>
            </w:rPr>
          </w:pPr>
          <w:r>
            <w:fldChar w:fldCharType="begin"/>
          </w:r>
          <w:r>
            <w:instrText xml:space="preserve"> HYPERLINK \l "_Toc471905931" </w:instrText>
          </w:r>
          <w:r>
            <w:fldChar w:fldCharType="separate"/>
          </w:r>
          <w:r>
            <w:rPr>
              <w:rStyle w:val="18"/>
              <w:rFonts w:ascii="黑体" w:hAnsi="黑体"/>
              <w:color w:val="auto"/>
              <w:sz w:val="24"/>
              <w:szCs w:val="24"/>
            </w:rPr>
            <w:t>3.4.8</w:t>
          </w:r>
          <w:r>
            <w:rPr>
              <w:rStyle w:val="18"/>
              <w:rFonts w:hint="eastAsia" w:ascii="黑体" w:hAnsi="黑体"/>
              <w:color w:val="auto"/>
              <w:sz w:val="24"/>
              <w:szCs w:val="24"/>
            </w:rPr>
            <w:t>管理信息化水平</w:t>
          </w:r>
          <w:r>
            <w:rPr>
              <w:sz w:val="24"/>
            </w:rPr>
            <w:tab/>
          </w:r>
          <w:r>
            <w:rPr>
              <w:rFonts w:hint="eastAsia"/>
              <w:sz w:val="24"/>
            </w:rPr>
            <w:t>1</w:t>
          </w:r>
          <w:r>
            <w:rPr>
              <w:rFonts w:hint="eastAsia"/>
              <w:sz w:val="24"/>
            </w:rPr>
            <w:fldChar w:fldCharType="end"/>
          </w:r>
          <w:r>
            <w:rPr>
              <w:rFonts w:hint="eastAsia"/>
              <w:sz w:val="24"/>
            </w:rPr>
            <w:t>2</w:t>
          </w:r>
        </w:p>
        <w:p>
          <w:pPr>
            <w:pStyle w:val="12"/>
            <w:tabs>
              <w:tab w:val="right" w:leader="dot" w:pos="9736"/>
            </w:tabs>
            <w:spacing w:line="360" w:lineRule="auto"/>
            <w:ind w:left="0" w:leftChars="0" w:firstLine="210" w:firstLineChars="100"/>
            <w:rPr>
              <w:rFonts w:asciiTheme="minorHAnsi" w:hAnsiTheme="minorHAnsi" w:cstheme="minorBidi"/>
              <w:sz w:val="24"/>
            </w:rPr>
          </w:pPr>
          <w:r>
            <w:fldChar w:fldCharType="begin"/>
          </w:r>
          <w:r>
            <w:instrText xml:space="preserve"> HYPERLINK \l "_Toc471905932" </w:instrText>
          </w:r>
          <w:r>
            <w:fldChar w:fldCharType="separate"/>
          </w:r>
          <w:r>
            <w:rPr>
              <w:rStyle w:val="18"/>
              <w:color w:val="auto"/>
              <w:sz w:val="24"/>
              <w:szCs w:val="24"/>
            </w:rPr>
            <w:t>3.5</w:t>
          </w:r>
          <w:r>
            <w:rPr>
              <w:rStyle w:val="18"/>
              <w:rFonts w:hint="eastAsia"/>
              <w:color w:val="auto"/>
              <w:sz w:val="24"/>
              <w:szCs w:val="24"/>
            </w:rPr>
            <w:t>德育工作</w:t>
          </w:r>
          <w:r>
            <w:rPr>
              <w:sz w:val="24"/>
            </w:rPr>
            <w:tab/>
          </w:r>
          <w:r>
            <w:rPr>
              <w:rFonts w:hint="eastAsia"/>
              <w:sz w:val="24"/>
            </w:rPr>
            <w:t>1</w:t>
          </w:r>
          <w:r>
            <w:rPr>
              <w:rFonts w:hint="eastAsia"/>
              <w:sz w:val="24"/>
            </w:rPr>
            <w:fldChar w:fldCharType="end"/>
          </w:r>
          <w:r>
            <w:rPr>
              <w:rFonts w:hint="eastAsia"/>
              <w:sz w:val="24"/>
            </w:rPr>
            <w:t>2</w:t>
          </w:r>
        </w:p>
        <w:p>
          <w:pPr>
            <w:pStyle w:val="12"/>
            <w:tabs>
              <w:tab w:val="right" w:leader="dot" w:pos="9736"/>
            </w:tabs>
            <w:spacing w:line="360" w:lineRule="auto"/>
            <w:rPr>
              <w:rFonts w:asciiTheme="minorHAnsi" w:hAnsiTheme="minorHAnsi" w:cstheme="minorBidi"/>
              <w:sz w:val="24"/>
            </w:rPr>
          </w:pPr>
          <w:r>
            <w:fldChar w:fldCharType="begin"/>
          </w:r>
          <w:r>
            <w:instrText xml:space="preserve"> HYPERLINK \l "_Toc471905933" </w:instrText>
          </w:r>
          <w:r>
            <w:fldChar w:fldCharType="separate"/>
          </w:r>
          <w:r>
            <w:rPr>
              <w:rStyle w:val="18"/>
              <w:rFonts w:ascii="黑体" w:hAnsi="黑体"/>
              <w:color w:val="auto"/>
              <w:sz w:val="24"/>
              <w:szCs w:val="24"/>
            </w:rPr>
            <w:t>3.5.1</w:t>
          </w:r>
          <w:r>
            <w:rPr>
              <w:rStyle w:val="18"/>
              <w:rFonts w:hint="eastAsia" w:ascii="黑体" w:hAnsi="黑体"/>
              <w:color w:val="auto"/>
              <w:sz w:val="24"/>
              <w:szCs w:val="24"/>
            </w:rPr>
            <w:t>德育课实施情况</w:t>
          </w:r>
          <w:r>
            <w:rPr>
              <w:sz w:val="24"/>
            </w:rPr>
            <w:tab/>
          </w:r>
          <w:r>
            <w:rPr>
              <w:rFonts w:hint="eastAsia"/>
              <w:sz w:val="24"/>
            </w:rPr>
            <w:t>1</w:t>
          </w:r>
          <w:r>
            <w:rPr>
              <w:rFonts w:hint="eastAsia"/>
              <w:sz w:val="24"/>
            </w:rPr>
            <w:fldChar w:fldCharType="end"/>
          </w:r>
          <w:r>
            <w:rPr>
              <w:rFonts w:hint="eastAsia"/>
              <w:sz w:val="24"/>
            </w:rPr>
            <w:t>2</w:t>
          </w:r>
        </w:p>
        <w:p>
          <w:pPr>
            <w:pStyle w:val="12"/>
            <w:tabs>
              <w:tab w:val="right" w:leader="dot" w:pos="9736"/>
            </w:tabs>
            <w:spacing w:line="360" w:lineRule="auto"/>
            <w:rPr>
              <w:rFonts w:asciiTheme="minorHAnsi" w:hAnsiTheme="minorHAnsi" w:eastAsiaTheme="minorEastAsia" w:cstheme="minorBidi"/>
              <w:sz w:val="24"/>
            </w:rPr>
          </w:pPr>
          <w:r>
            <w:fldChar w:fldCharType="begin"/>
          </w:r>
          <w:r>
            <w:instrText xml:space="preserve"> HYPERLINK \l "_Toc471905935" </w:instrText>
          </w:r>
          <w:r>
            <w:fldChar w:fldCharType="separate"/>
          </w:r>
          <w:r>
            <w:rPr>
              <w:rStyle w:val="18"/>
              <w:rFonts w:ascii="黑体" w:hAnsi="黑体"/>
              <w:color w:val="auto"/>
              <w:sz w:val="24"/>
              <w:szCs w:val="24"/>
            </w:rPr>
            <w:t>3.5.2</w:t>
          </w:r>
          <w:r>
            <w:rPr>
              <w:rStyle w:val="18"/>
              <w:rFonts w:hint="eastAsia" w:ascii="黑体" w:hAnsi="黑体"/>
              <w:color w:val="auto"/>
              <w:sz w:val="24"/>
              <w:szCs w:val="24"/>
            </w:rPr>
            <w:t>校园文化建设</w:t>
          </w:r>
          <w:r>
            <w:rPr>
              <w:sz w:val="24"/>
            </w:rPr>
            <w:tab/>
          </w:r>
          <w:r>
            <w:rPr>
              <w:sz w:val="24"/>
            </w:rPr>
            <w:fldChar w:fldCharType="begin"/>
          </w:r>
          <w:r>
            <w:rPr>
              <w:sz w:val="24"/>
            </w:rPr>
            <w:instrText xml:space="preserve"> PAGEREF _Toc471905935 \h </w:instrText>
          </w:r>
          <w:r>
            <w:rPr>
              <w:sz w:val="24"/>
            </w:rPr>
            <w:fldChar w:fldCharType="separate"/>
          </w:r>
          <w:r>
            <w:rPr>
              <w:sz w:val="24"/>
            </w:rPr>
            <w:t>12</w:t>
          </w:r>
          <w:r>
            <w:rPr>
              <w:sz w:val="24"/>
            </w:rPr>
            <w:fldChar w:fldCharType="end"/>
          </w:r>
          <w:r>
            <w:rPr>
              <w:sz w:val="24"/>
            </w:rPr>
            <w:fldChar w:fldCharType="end"/>
          </w:r>
        </w:p>
        <w:p>
          <w:pPr>
            <w:pStyle w:val="12"/>
            <w:tabs>
              <w:tab w:val="right" w:leader="dot" w:pos="9736"/>
            </w:tabs>
            <w:spacing w:line="360" w:lineRule="auto"/>
            <w:rPr>
              <w:rFonts w:asciiTheme="minorHAnsi" w:hAnsiTheme="minorHAnsi" w:cstheme="minorBidi"/>
              <w:sz w:val="24"/>
            </w:rPr>
          </w:pPr>
          <w:r>
            <w:fldChar w:fldCharType="begin"/>
          </w:r>
          <w:r>
            <w:instrText xml:space="preserve"> HYPERLINK \l "_Toc471905940" </w:instrText>
          </w:r>
          <w:r>
            <w:fldChar w:fldCharType="separate"/>
          </w:r>
          <w:r>
            <w:rPr>
              <w:rStyle w:val="18"/>
              <w:rFonts w:ascii="黑体" w:hAnsi="黑体"/>
              <w:color w:val="auto"/>
              <w:sz w:val="24"/>
              <w:szCs w:val="24"/>
            </w:rPr>
            <w:t>3.5.</w:t>
          </w:r>
          <w:r>
            <w:rPr>
              <w:rStyle w:val="18"/>
              <w:rFonts w:hint="eastAsia" w:ascii="黑体" w:hAnsi="黑体"/>
              <w:color w:val="auto"/>
              <w:sz w:val="24"/>
              <w:szCs w:val="24"/>
            </w:rPr>
            <w:t>3文明风采</w:t>
          </w:r>
          <w:r>
            <w:rPr>
              <w:rStyle w:val="18"/>
              <w:rFonts w:ascii="黑体" w:hAnsi="黑体"/>
              <w:color w:val="auto"/>
              <w:sz w:val="24"/>
              <w:szCs w:val="24"/>
            </w:rPr>
            <w:t>”</w:t>
          </w:r>
          <w:r>
            <w:rPr>
              <w:rStyle w:val="18"/>
              <w:rFonts w:hint="eastAsia" w:ascii="黑体" w:hAnsi="黑体"/>
              <w:color w:val="auto"/>
              <w:sz w:val="24"/>
              <w:szCs w:val="24"/>
            </w:rPr>
            <w:t>活动开展情况</w:t>
          </w:r>
          <w:r>
            <w:rPr>
              <w:sz w:val="24"/>
            </w:rPr>
            <w:tab/>
          </w:r>
          <w:r>
            <w:rPr>
              <w:rFonts w:hint="eastAsia"/>
              <w:sz w:val="24"/>
            </w:rPr>
            <w:t>1</w:t>
          </w:r>
          <w:r>
            <w:rPr>
              <w:rFonts w:hint="eastAsia"/>
              <w:sz w:val="24"/>
            </w:rPr>
            <w:fldChar w:fldCharType="end"/>
          </w:r>
          <w:r>
            <w:rPr>
              <w:rFonts w:hint="eastAsia"/>
              <w:sz w:val="24"/>
            </w:rPr>
            <w:t>3</w:t>
          </w:r>
        </w:p>
        <w:p>
          <w:pPr>
            <w:pStyle w:val="12"/>
            <w:tabs>
              <w:tab w:val="right" w:leader="dot" w:pos="9736"/>
            </w:tabs>
            <w:spacing w:line="360" w:lineRule="auto"/>
            <w:rPr>
              <w:rFonts w:asciiTheme="minorHAnsi" w:hAnsiTheme="minorHAnsi" w:cstheme="minorBidi"/>
              <w:sz w:val="24"/>
            </w:rPr>
          </w:pPr>
          <w:r>
            <w:fldChar w:fldCharType="begin"/>
          </w:r>
          <w:r>
            <w:instrText xml:space="preserve"> HYPERLINK \l "_Toc471905940" </w:instrText>
          </w:r>
          <w:r>
            <w:fldChar w:fldCharType="separate"/>
          </w:r>
          <w:r>
            <w:rPr>
              <w:rStyle w:val="18"/>
              <w:rFonts w:ascii="黑体" w:hAnsi="黑体"/>
              <w:color w:val="auto"/>
              <w:sz w:val="24"/>
              <w:szCs w:val="24"/>
            </w:rPr>
            <w:t>3.5.</w:t>
          </w:r>
          <w:r>
            <w:rPr>
              <w:rStyle w:val="18"/>
              <w:rFonts w:hint="eastAsia" w:ascii="黑体" w:hAnsi="黑体"/>
              <w:color w:val="auto"/>
              <w:sz w:val="24"/>
              <w:szCs w:val="24"/>
              <w:lang w:val="en-US" w:eastAsia="zh-CN"/>
            </w:rPr>
            <w:t>4</w:t>
          </w:r>
          <w:r>
            <w:rPr>
              <w:rStyle w:val="18"/>
              <w:rFonts w:hint="eastAsia" w:ascii="黑体" w:hAnsi="黑体"/>
              <w:color w:val="auto"/>
              <w:sz w:val="24"/>
              <w:szCs w:val="24"/>
            </w:rPr>
            <w:t>社团活动</w:t>
          </w:r>
          <w:r>
            <w:rPr>
              <w:sz w:val="24"/>
            </w:rPr>
            <w:tab/>
          </w:r>
          <w:r>
            <w:rPr>
              <w:rFonts w:hint="eastAsia"/>
              <w:sz w:val="24"/>
            </w:rPr>
            <w:t>1</w:t>
          </w:r>
          <w:r>
            <w:rPr>
              <w:rFonts w:hint="eastAsia"/>
              <w:sz w:val="24"/>
            </w:rPr>
            <w:fldChar w:fldCharType="end"/>
          </w:r>
          <w:r>
            <w:rPr>
              <w:rFonts w:hint="eastAsia"/>
              <w:sz w:val="24"/>
            </w:rPr>
            <w:t>3</w:t>
          </w:r>
        </w:p>
        <w:p>
          <w:pPr>
            <w:pStyle w:val="12"/>
            <w:tabs>
              <w:tab w:val="right" w:leader="dot" w:pos="9736"/>
            </w:tabs>
            <w:spacing w:line="360" w:lineRule="auto"/>
            <w:rPr>
              <w:rFonts w:asciiTheme="minorHAnsi" w:hAnsiTheme="minorHAnsi" w:cstheme="minorBidi"/>
              <w:sz w:val="24"/>
            </w:rPr>
          </w:pPr>
          <w:r>
            <w:fldChar w:fldCharType="begin"/>
          </w:r>
          <w:r>
            <w:instrText xml:space="preserve"> HYPERLINK \l "_Toc471905941" </w:instrText>
          </w:r>
          <w:r>
            <w:fldChar w:fldCharType="separate"/>
          </w:r>
          <w:r>
            <w:rPr>
              <w:rStyle w:val="18"/>
              <w:rFonts w:ascii="黑体" w:hAnsi="黑体"/>
              <w:color w:val="auto"/>
              <w:sz w:val="24"/>
              <w:szCs w:val="24"/>
            </w:rPr>
            <w:t>3.5.</w:t>
          </w:r>
          <w:r>
            <w:rPr>
              <w:rStyle w:val="18"/>
              <w:rFonts w:hint="eastAsia" w:ascii="黑体" w:hAnsi="黑体"/>
              <w:color w:val="auto"/>
              <w:sz w:val="24"/>
              <w:szCs w:val="24"/>
              <w:lang w:val="en-US" w:eastAsia="zh-CN"/>
            </w:rPr>
            <w:t>5</w:t>
          </w:r>
          <w:r>
            <w:rPr>
              <w:rStyle w:val="18"/>
              <w:rFonts w:hint="eastAsia" w:ascii="黑体" w:hAnsi="黑体"/>
              <w:color w:val="auto"/>
              <w:sz w:val="24"/>
              <w:szCs w:val="24"/>
            </w:rPr>
            <w:t>团组织、学生会建设及活动</w:t>
          </w:r>
          <w:r>
            <w:rPr>
              <w:sz w:val="24"/>
            </w:rPr>
            <w:tab/>
          </w:r>
          <w:r>
            <w:rPr>
              <w:rFonts w:hint="eastAsia"/>
              <w:sz w:val="24"/>
            </w:rPr>
            <w:t>1</w:t>
          </w:r>
          <w:r>
            <w:rPr>
              <w:rFonts w:hint="eastAsia"/>
              <w:sz w:val="24"/>
            </w:rPr>
            <w:fldChar w:fldCharType="end"/>
          </w:r>
          <w:r>
            <w:rPr>
              <w:rFonts w:hint="eastAsia"/>
              <w:sz w:val="24"/>
            </w:rPr>
            <w:t>7</w:t>
          </w:r>
        </w:p>
        <w:p>
          <w:pPr>
            <w:pStyle w:val="12"/>
            <w:tabs>
              <w:tab w:val="right" w:leader="dot" w:pos="9736"/>
            </w:tabs>
            <w:spacing w:line="360" w:lineRule="auto"/>
            <w:ind w:left="0" w:leftChars="0" w:firstLine="210" w:firstLineChars="100"/>
            <w:rPr>
              <w:rFonts w:asciiTheme="minorHAnsi" w:hAnsiTheme="minorHAnsi" w:cstheme="minorBidi"/>
              <w:sz w:val="24"/>
            </w:rPr>
          </w:pPr>
          <w:r>
            <w:fldChar w:fldCharType="begin"/>
          </w:r>
          <w:r>
            <w:instrText xml:space="preserve"> HYPERLINK \l "_Toc471905944" </w:instrText>
          </w:r>
          <w:r>
            <w:fldChar w:fldCharType="separate"/>
          </w:r>
          <w:r>
            <w:rPr>
              <w:rStyle w:val="18"/>
              <w:color w:val="auto"/>
              <w:sz w:val="24"/>
              <w:szCs w:val="24"/>
            </w:rPr>
            <w:t>3.6</w:t>
          </w:r>
          <w:r>
            <w:rPr>
              <w:rStyle w:val="18"/>
              <w:rFonts w:hint="eastAsia"/>
              <w:color w:val="auto"/>
              <w:sz w:val="24"/>
              <w:szCs w:val="24"/>
            </w:rPr>
            <w:t>党建工作</w:t>
          </w:r>
          <w:r>
            <w:rPr>
              <w:sz w:val="24"/>
            </w:rPr>
            <w:tab/>
          </w:r>
          <w:r>
            <w:rPr>
              <w:rFonts w:hint="eastAsia"/>
              <w:sz w:val="24"/>
            </w:rPr>
            <w:t>1</w:t>
          </w:r>
          <w:r>
            <w:rPr>
              <w:rFonts w:hint="eastAsia"/>
              <w:sz w:val="24"/>
            </w:rPr>
            <w:fldChar w:fldCharType="end"/>
          </w:r>
          <w:r>
            <w:rPr>
              <w:rFonts w:hint="eastAsia"/>
              <w:sz w:val="24"/>
            </w:rPr>
            <w:t>9</w:t>
          </w:r>
        </w:p>
        <w:p>
          <w:pPr>
            <w:pStyle w:val="11"/>
            <w:tabs>
              <w:tab w:val="right" w:leader="dot" w:pos="9736"/>
            </w:tabs>
            <w:spacing w:line="360" w:lineRule="auto"/>
            <w:rPr>
              <w:rFonts w:asciiTheme="minorHAnsi" w:hAnsiTheme="minorHAnsi" w:cstheme="minorBidi"/>
              <w:sz w:val="24"/>
            </w:rPr>
          </w:pPr>
          <w:r>
            <w:fldChar w:fldCharType="begin"/>
          </w:r>
          <w:r>
            <w:instrText xml:space="preserve"> HYPERLINK \l "_Toc471905945" </w:instrText>
          </w:r>
          <w:r>
            <w:fldChar w:fldCharType="separate"/>
          </w:r>
          <w:r>
            <w:rPr>
              <w:rStyle w:val="18"/>
              <w:rFonts w:ascii="黑体" w:hAnsi="黑体" w:eastAsia="黑体" w:cs="黑体"/>
              <w:color w:val="auto"/>
              <w:sz w:val="24"/>
              <w:szCs w:val="24"/>
            </w:rPr>
            <w:t>4.</w:t>
          </w:r>
          <w:r>
            <w:rPr>
              <w:rStyle w:val="18"/>
              <w:rFonts w:hint="eastAsia" w:ascii="黑体" w:hAnsi="黑体" w:eastAsia="黑体" w:cs="黑体"/>
              <w:color w:val="auto"/>
              <w:sz w:val="24"/>
              <w:szCs w:val="24"/>
            </w:rPr>
            <w:t>校企合作</w:t>
          </w:r>
          <w:r>
            <w:rPr>
              <w:sz w:val="24"/>
            </w:rPr>
            <w:tab/>
          </w:r>
          <w:r>
            <w:rPr>
              <w:sz w:val="24"/>
            </w:rPr>
            <w:fldChar w:fldCharType="end"/>
          </w:r>
          <w:r>
            <w:rPr>
              <w:rFonts w:hint="eastAsia"/>
              <w:sz w:val="24"/>
            </w:rPr>
            <w:t>20</w:t>
          </w:r>
        </w:p>
        <w:p>
          <w:pPr>
            <w:pStyle w:val="12"/>
            <w:tabs>
              <w:tab w:val="right" w:leader="dot" w:pos="9736"/>
            </w:tabs>
            <w:spacing w:line="360" w:lineRule="auto"/>
            <w:ind w:left="0" w:leftChars="0" w:firstLine="210" w:firstLineChars="100"/>
            <w:rPr>
              <w:rFonts w:asciiTheme="minorHAnsi" w:hAnsiTheme="minorHAnsi" w:cstheme="minorBidi"/>
              <w:sz w:val="24"/>
            </w:rPr>
          </w:pPr>
          <w:r>
            <w:fldChar w:fldCharType="begin"/>
          </w:r>
          <w:r>
            <w:instrText xml:space="preserve"> HYPERLINK \l "_Toc471905946" </w:instrText>
          </w:r>
          <w:r>
            <w:fldChar w:fldCharType="separate"/>
          </w:r>
          <w:r>
            <w:rPr>
              <w:rStyle w:val="18"/>
              <w:color w:val="auto"/>
              <w:sz w:val="24"/>
              <w:szCs w:val="24"/>
            </w:rPr>
            <w:t>4.1</w:t>
          </w:r>
          <w:r>
            <w:rPr>
              <w:rStyle w:val="18"/>
              <w:rFonts w:hint="eastAsia"/>
              <w:color w:val="auto"/>
              <w:sz w:val="24"/>
              <w:szCs w:val="24"/>
            </w:rPr>
            <w:t>校企合作开展情况和效果</w:t>
          </w:r>
          <w:r>
            <w:rPr>
              <w:sz w:val="24"/>
            </w:rPr>
            <w:tab/>
          </w:r>
          <w:r>
            <w:rPr>
              <w:sz w:val="24"/>
            </w:rPr>
            <w:fldChar w:fldCharType="end"/>
          </w:r>
          <w:r>
            <w:rPr>
              <w:rFonts w:hint="eastAsia"/>
              <w:sz w:val="24"/>
            </w:rPr>
            <w:t>20</w:t>
          </w:r>
        </w:p>
        <w:p>
          <w:pPr>
            <w:pStyle w:val="12"/>
            <w:tabs>
              <w:tab w:val="right" w:leader="dot" w:pos="9736"/>
            </w:tabs>
            <w:spacing w:line="360" w:lineRule="auto"/>
            <w:ind w:left="0" w:leftChars="0" w:firstLine="210" w:firstLineChars="100"/>
            <w:rPr>
              <w:rFonts w:asciiTheme="minorHAnsi" w:hAnsiTheme="minorHAnsi" w:cstheme="minorBidi"/>
              <w:sz w:val="24"/>
            </w:rPr>
          </w:pPr>
          <w:r>
            <w:fldChar w:fldCharType="begin"/>
          </w:r>
          <w:r>
            <w:instrText xml:space="preserve"> HYPERLINK \l "_Toc471905947" </w:instrText>
          </w:r>
          <w:r>
            <w:fldChar w:fldCharType="separate"/>
          </w:r>
          <w:r>
            <w:rPr>
              <w:rStyle w:val="18"/>
              <w:color w:val="auto"/>
              <w:sz w:val="24"/>
              <w:szCs w:val="24"/>
            </w:rPr>
            <w:t>4.2</w:t>
          </w:r>
          <w:r>
            <w:rPr>
              <w:rStyle w:val="18"/>
              <w:rFonts w:hint="eastAsia"/>
              <w:color w:val="auto"/>
              <w:sz w:val="24"/>
              <w:szCs w:val="24"/>
            </w:rPr>
            <w:t>学生实习情况</w:t>
          </w:r>
          <w:r>
            <w:rPr>
              <w:sz w:val="24"/>
            </w:rPr>
            <w:tab/>
          </w:r>
          <w:r>
            <w:rPr>
              <w:sz w:val="24"/>
            </w:rPr>
            <w:fldChar w:fldCharType="end"/>
          </w:r>
          <w:r>
            <w:rPr>
              <w:rFonts w:hint="eastAsia"/>
              <w:sz w:val="24"/>
            </w:rPr>
            <w:t>21</w:t>
          </w:r>
        </w:p>
        <w:p>
          <w:pPr>
            <w:pStyle w:val="12"/>
            <w:tabs>
              <w:tab w:val="right" w:leader="dot" w:pos="9736"/>
            </w:tabs>
            <w:spacing w:line="360" w:lineRule="auto"/>
            <w:ind w:left="0" w:leftChars="0" w:firstLine="210" w:firstLineChars="100"/>
            <w:rPr>
              <w:rFonts w:asciiTheme="minorHAnsi" w:hAnsiTheme="minorHAnsi" w:cstheme="minorBidi"/>
              <w:sz w:val="24"/>
            </w:rPr>
          </w:pPr>
          <w:r>
            <w:fldChar w:fldCharType="begin"/>
          </w:r>
          <w:r>
            <w:instrText xml:space="preserve"> HYPERLINK \l "_Toc471905948" </w:instrText>
          </w:r>
          <w:r>
            <w:fldChar w:fldCharType="separate"/>
          </w:r>
          <w:r>
            <w:rPr>
              <w:rStyle w:val="18"/>
              <w:color w:val="auto"/>
              <w:sz w:val="24"/>
              <w:szCs w:val="24"/>
            </w:rPr>
            <w:t>4.3</w:t>
          </w:r>
          <w:r>
            <w:rPr>
              <w:rStyle w:val="18"/>
              <w:rFonts w:hint="eastAsia"/>
              <w:color w:val="auto"/>
              <w:sz w:val="24"/>
              <w:szCs w:val="24"/>
            </w:rPr>
            <w:t>集团化办学情况</w:t>
          </w:r>
          <w:r>
            <w:rPr>
              <w:sz w:val="24"/>
            </w:rPr>
            <w:tab/>
          </w:r>
          <w:r>
            <w:rPr>
              <w:sz w:val="24"/>
            </w:rPr>
            <w:fldChar w:fldCharType="end"/>
          </w:r>
          <w:r>
            <w:rPr>
              <w:rFonts w:hint="eastAsia"/>
              <w:sz w:val="24"/>
            </w:rPr>
            <w:t>21</w:t>
          </w:r>
        </w:p>
        <w:p>
          <w:pPr>
            <w:pStyle w:val="11"/>
            <w:tabs>
              <w:tab w:val="right" w:leader="dot" w:pos="9736"/>
            </w:tabs>
            <w:spacing w:line="360" w:lineRule="auto"/>
            <w:rPr>
              <w:rFonts w:asciiTheme="minorHAnsi" w:hAnsiTheme="minorHAnsi" w:cstheme="minorBidi"/>
              <w:sz w:val="24"/>
            </w:rPr>
          </w:pPr>
          <w:r>
            <w:fldChar w:fldCharType="begin"/>
          </w:r>
          <w:r>
            <w:instrText xml:space="preserve"> HYPERLINK \l "_Toc471905950" </w:instrText>
          </w:r>
          <w:r>
            <w:fldChar w:fldCharType="separate"/>
          </w:r>
          <w:r>
            <w:rPr>
              <w:rStyle w:val="18"/>
              <w:rFonts w:ascii="黑体" w:hAnsi="黑体" w:eastAsia="黑体" w:cs="黑体"/>
              <w:color w:val="auto"/>
              <w:sz w:val="24"/>
              <w:szCs w:val="24"/>
            </w:rPr>
            <w:t>5.</w:t>
          </w:r>
          <w:r>
            <w:rPr>
              <w:rStyle w:val="18"/>
              <w:rFonts w:hint="eastAsia" w:ascii="黑体" w:hAnsi="黑体" w:eastAsia="黑体" w:cs="黑体"/>
              <w:color w:val="auto"/>
              <w:sz w:val="24"/>
              <w:szCs w:val="24"/>
            </w:rPr>
            <w:t>社会贡献</w:t>
          </w:r>
          <w:r>
            <w:rPr>
              <w:sz w:val="24"/>
            </w:rPr>
            <w:tab/>
          </w:r>
          <w:r>
            <w:rPr>
              <w:sz w:val="24"/>
            </w:rPr>
            <w:fldChar w:fldCharType="end"/>
          </w:r>
          <w:r>
            <w:rPr>
              <w:rFonts w:hint="eastAsia"/>
              <w:sz w:val="24"/>
            </w:rPr>
            <w:t>21</w:t>
          </w:r>
        </w:p>
        <w:p>
          <w:pPr>
            <w:pStyle w:val="12"/>
            <w:tabs>
              <w:tab w:val="right" w:leader="dot" w:pos="9736"/>
            </w:tabs>
            <w:spacing w:line="360" w:lineRule="auto"/>
            <w:ind w:left="0" w:leftChars="0" w:firstLine="210" w:firstLineChars="100"/>
            <w:rPr>
              <w:rFonts w:asciiTheme="minorHAnsi" w:hAnsiTheme="minorHAnsi" w:cstheme="minorBidi"/>
              <w:sz w:val="24"/>
            </w:rPr>
          </w:pPr>
          <w:r>
            <w:fldChar w:fldCharType="begin"/>
          </w:r>
          <w:r>
            <w:instrText xml:space="preserve"> HYPERLINK \l "_Toc471905951" </w:instrText>
          </w:r>
          <w:r>
            <w:fldChar w:fldCharType="separate"/>
          </w:r>
          <w:r>
            <w:rPr>
              <w:rStyle w:val="18"/>
              <w:color w:val="auto"/>
              <w:sz w:val="24"/>
              <w:szCs w:val="24"/>
            </w:rPr>
            <w:t>5.1</w:t>
          </w:r>
          <w:r>
            <w:rPr>
              <w:rStyle w:val="18"/>
              <w:rFonts w:hint="eastAsia"/>
              <w:color w:val="auto"/>
              <w:sz w:val="24"/>
              <w:szCs w:val="24"/>
            </w:rPr>
            <w:t>技术技能人才培养</w:t>
          </w:r>
          <w:r>
            <w:rPr>
              <w:sz w:val="24"/>
            </w:rPr>
            <w:tab/>
          </w:r>
          <w:r>
            <w:rPr>
              <w:sz w:val="24"/>
            </w:rPr>
            <w:fldChar w:fldCharType="end"/>
          </w:r>
          <w:r>
            <w:rPr>
              <w:rFonts w:hint="eastAsia"/>
              <w:sz w:val="24"/>
            </w:rPr>
            <w:t>21</w:t>
          </w:r>
        </w:p>
        <w:p>
          <w:pPr>
            <w:pStyle w:val="12"/>
            <w:tabs>
              <w:tab w:val="right" w:leader="dot" w:pos="9736"/>
            </w:tabs>
            <w:spacing w:line="360" w:lineRule="auto"/>
            <w:ind w:left="0" w:leftChars="0" w:firstLine="210" w:firstLineChars="100"/>
            <w:rPr>
              <w:rFonts w:hint="eastAsia" w:eastAsia="宋体" w:asciiTheme="minorHAnsi" w:hAnsiTheme="minorHAnsi" w:cstheme="minorBidi"/>
              <w:sz w:val="24"/>
              <w:lang w:eastAsia="zh-CN"/>
            </w:rPr>
          </w:pPr>
          <w:r>
            <w:fldChar w:fldCharType="begin"/>
          </w:r>
          <w:r>
            <w:instrText xml:space="preserve"> HYPERLINK \l "_Toc471905952" </w:instrText>
          </w:r>
          <w:r>
            <w:fldChar w:fldCharType="separate"/>
          </w:r>
          <w:r>
            <w:rPr>
              <w:rStyle w:val="18"/>
              <w:color w:val="auto"/>
              <w:sz w:val="24"/>
              <w:szCs w:val="24"/>
            </w:rPr>
            <w:t>5.2</w:t>
          </w:r>
          <w:r>
            <w:rPr>
              <w:rStyle w:val="18"/>
              <w:rFonts w:hint="eastAsia"/>
              <w:color w:val="auto"/>
              <w:sz w:val="24"/>
              <w:szCs w:val="24"/>
            </w:rPr>
            <w:t>社会服务</w:t>
          </w:r>
          <w:r>
            <w:rPr>
              <w:sz w:val="24"/>
            </w:rPr>
            <w:tab/>
          </w:r>
          <w:r>
            <w:rPr>
              <w:rFonts w:hint="eastAsia"/>
              <w:sz w:val="24"/>
            </w:rPr>
            <w:t>2</w:t>
          </w:r>
          <w:r>
            <w:rPr>
              <w:rFonts w:hint="eastAsia"/>
              <w:sz w:val="24"/>
            </w:rPr>
            <w:fldChar w:fldCharType="end"/>
          </w:r>
          <w:r>
            <w:rPr>
              <w:rFonts w:hint="eastAsia"/>
              <w:sz w:val="24"/>
              <w:lang w:val="en-US" w:eastAsia="zh-CN"/>
            </w:rPr>
            <w:t>1</w:t>
          </w:r>
        </w:p>
        <w:p>
          <w:pPr>
            <w:pStyle w:val="12"/>
            <w:tabs>
              <w:tab w:val="right" w:leader="dot" w:pos="9736"/>
            </w:tabs>
            <w:spacing w:line="360" w:lineRule="auto"/>
            <w:ind w:left="0" w:leftChars="0" w:firstLine="210" w:firstLineChars="100"/>
            <w:rPr>
              <w:rFonts w:asciiTheme="minorHAnsi" w:hAnsiTheme="minorHAnsi" w:cstheme="minorBidi"/>
              <w:sz w:val="24"/>
            </w:rPr>
          </w:pPr>
          <w:r>
            <w:fldChar w:fldCharType="begin"/>
          </w:r>
          <w:r>
            <w:instrText xml:space="preserve"> HYPERLINK \l "_Toc471905954" </w:instrText>
          </w:r>
          <w:r>
            <w:fldChar w:fldCharType="separate"/>
          </w:r>
          <w:r>
            <w:rPr>
              <w:rStyle w:val="18"/>
              <w:color w:val="auto"/>
              <w:sz w:val="24"/>
              <w:szCs w:val="24"/>
            </w:rPr>
            <w:t>5.3</w:t>
          </w:r>
          <w:r>
            <w:rPr>
              <w:rStyle w:val="18"/>
              <w:rFonts w:hint="eastAsia"/>
              <w:color w:val="auto"/>
              <w:sz w:val="24"/>
              <w:szCs w:val="24"/>
            </w:rPr>
            <w:t>对口支援</w:t>
          </w:r>
          <w:r>
            <w:rPr>
              <w:sz w:val="24"/>
            </w:rPr>
            <w:tab/>
          </w:r>
          <w:r>
            <w:rPr>
              <w:sz w:val="24"/>
            </w:rPr>
            <w:fldChar w:fldCharType="end"/>
          </w:r>
          <w:r>
            <w:rPr>
              <w:rFonts w:hint="eastAsia"/>
              <w:sz w:val="24"/>
            </w:rPr>
            <w:t>22</w:t>
          </w:r>
        </w:p>
        <w:p>
          <w:pPr>
            <w:pStyle w:val="11"/>
            <w:tabs>
              <w:tab w:val="right" w:leader="dot" w:pos="9736"/>
            </w:tabs>
            <w:spacing w:line="360" w:lineRule="auto"/>
            <w:rPr>
              <w:rFonts w:asciiTheme="minorHAnsi" w:hAnsiTheme="minorHAnsi" w:cstheme="minorBidi"/>
              <w:sz w:val="24"/>
            </w:rPr>
          </w:pPr>
          <w:r>
            <w:fldChar w:fldCharType="begin"/>
          </w:r>
          <w:r>
            <w:instrText xml:space="preserve"> HYPERLINK \l "_Toc471905956" </w:instrText>
          </w:r>
          <w:r>
            <w:fldChar w:fldCharType="separate"/>
          </w:r>
          <w:r>
            <w:rPr>
              <w:rStyle w:val="18"/>
              <w:rFonts w:ascii="黑体" w:hAnsi="黑体" w:eastAsia="黑体" w:cs="黑体"/>
              <w:color w:val="auto"/>
              <w:sz w:val="24"/>
              <w:szCs w:val="24"/>
            </w:rPr>
            <w:t>6.</w:t>
          </w:r>
          <w:r>
            <w:rPr>
              <w:rStyle w:val="18"/>
              <w:rFonts w:hint="eastAsia" w:ascii="黑体" w:hAnsi="黑体" w:eastAsia="黑体" w:cs="黑体"/>
              <w:color w:val="auto"/>
              <w:sz w:val="24"/>
              <w:szCs w:val="24"/>
            </w:rPr>
            <w:t>举办者履责</w:t>
          </w:r>
          <w:r>
            <w:rPr>
              <w:sz w:val="24"/>
            </w:rPr>
            <w:tab/>
          </w:r>
          <w:r>
            <w:rPr>
              <w:sz w:val="24"/>
            </w:rPr>
            <w:fldChar w:fldCharType="end"/>
          </w:r>
          <w:r>
            <w:rPr>
              <w:rFonts w:hint="eastAsia"/>
              <w:sz w:val="24"/>
            </w:rPr>
            <w:t>22</w:t>
          </w:r>
        </w:p>
        <w:p>
          <w:pPr>
            <w:pStyle w:val="12"/>
            <w:tabs>
              <w:tab w:val="right" w:leader="dot" w:pos="9736"/>
            </w:tabs>
            <w:spacing w:line="360" w:lineRule="auto"/>
            <w:ind w:left="0" w:leftChars="0" w:firstLine="210" w:firstLineChars="100"/>
            <w:rPr>
              <w:rFonts w:asciiTheme="minorHAnsi" w:hAnsiTheme="minorHAnsi" w:cstheme="minorBidi"/>
              <w:sz w:val="24"/>
            </w:rPr>
          </w:pPr>
          <w:r>
            <w:fldChar w:fldCharType="begin"/>
          </w:r>
          <w:r>
            <w:instrText xml:space="preserve"> HYPERLINK \l "_Toc471905957" </w:instrText>
          </w:r>
          <w:r>
            <w:fldChar w:fldCharType="separate"/>
          </w:r>
          <w:r>
            <w:rPr>
              <w:rStyle w:val="18"/>
              <w:color w:val="auto"/>
              <w:sz w:val="24"/>
              <w:szCs w:val="24"/>
            </w:rPr>
            <w:t>6.1</w:t>
          </w:r>
          <w:r>
            <w:rPr>
              <w:rStyle w:val="18"/>
              <w:rFonts w:hint="eastAsia"/>
              <w:color w:val="auto"/>
              <w:sz w:val="24"/>
              <w:szCs w:val="24"/>
            </w:rPr>
            <w:t>经费</w:t>
          </w:r>
          <w:r>
            <w:rPr>
              <w:sz w:val="24"/>
            </w:rPr>
            <w:tab/>
          </w:r>
          <w:r>
            <w:rPr>
              <w:sz w:val="24"/>
            </w:rPr>
            <w:fldChar w:fldCharType="end"/>
          </w:r>
          <w:r>
            <w:rPr>
              <w:rFonts w:hint="eastAsia"/>
              <w:sz w:val="24"/>
            </w:rPr>
            <w:t>22</w:t>
          </w:r>
        </w:p>
        <w:p>
          <w:pPr>
            <w:pStyle w:val="12"/>
            <w:tabs>
              <w:tab w:val="right" w:leader="dot" w:pos="9736"/>
            </w:tabs>
            <w:spacing w:line="360" w:lineRule="auto"/>
            <w:ind w:left="0" w:leftChars="0" w:firstLine="210" w:firstLineChars="100"/>
            <w:rPr>
              <w:rFonts w:hint="eastAsia" w:eastAsia="宋体" w:asciiTheme="minorHAnsi" w:hAnsiTheme="minorHAnsi" w:cstheme="minorBidi"/>
              <w:sz w:val="24"/>
              <w:lang w:eastAsia="zh-CN"/>
            </w:rPr>
          </w:pPr>
          <w:r>
            <w:fldChar w:fldCharType="begin"/>
          </w:r>
          <w:r>
            <w:instrText xml:space="preserve"> HYPERLINK \l "_Toc471905959" </w:instrText>
          </w:r>
          <w:r>
            <w:fldChar w:fldCharType="separate"/>
          </w:r>
          <w:r>
            <w:rPr>
              <w:rStyle w:val="18"/>
              <w:color w:val="auto"/>
              <w:sz w:val="24"/>
              <w:szCs w:val="24"/>
            </w:rPr>
            <w:t>6.2</w:t>
          </w:r>
          <w:r>
            <w:rPr>
              <w:rStyle w:val="18"/>
              <w:rFonts w:hint="eastAsia"/>
              <w:color w:val="auto"/>
              <w:sz w:val="24"/>
              <w:szCs w:val="24"/>
            </w:rPr>
            <w:t>政策措施</w:t>
          </w:r>
          <w:r>
            <w:rPr>
              <w:sz w:val="24"/>
            </w:rPr>
            <w:tab/>
          </w:r>
          <w:r>
            <w:rPr>
              <w:sz w:val="24"/>
            </w:rPr>
            <w:fldChar w:fldCharType="end"/>
          </w:r>
          <w:r>
            <w:rPr>
              <w:rFonts w:hint="eastAsia"/>
              <w:sz w:val="24"/>
            </w:rPr>
            <w:t>2</w:t>
          </w:r>
          <w:r>
            <w:rPr>
              <w:rFonts w:hint="eastAsia"/>
              <w:sz w:val="24"/>
              <w:lang w:val="en-US" w:eastAsia="zh-CN"/>
            </w:rPr>
            <w:t>2</w:t>
          </w:r>
        </w:p>
        <w:p>
          <w:pPr>
            <w:pStyle w:val="11"/>
            <w:tabs>
              <w:tab w:val="right" w:leader="dot" w:pos="9736"/>
            </w:tabs>
            <w:spacing w:line="360" w:lineRule="auto"/>
            <w:rPr>
              <w:rFonts w:asciiTheme="minorHAnsi" w:hAnsiTheme="minorHAnsi" w:cstheme="minorBidi"/>
              <w:sz w:val="24"/>
            </w:rPr>
          </w:pPr>
          <w:r>
            <w:fldChar w:fldCharType="begin"/>
          </w:r>
          <w:r>
            <w:instrText xml:space="preserve"> HYPERLINK \l "_Toc471905961" </w:instrText>
          </w:r>
          <w:r>
            <w:fldChar w:fldCharType="separate"/>
          </w:r>
          <w:r>
            <w:rPr>
              <w:rStyle w:val="18"/>
              <w:rFonts w:ascii="黑体" w:hAnsi="黑体" w:eastAsia="黑体" w:cs="黑体"/>
              <w:color w:val="auto"/>
              <w:sz w:val="24"/>
              <w:szCs w:val="24"/>
            </w:rPr>
            <w:t>7.</w:t>
          </w:r>
          <w:r>
            <w:rPr>
              <w:rStyle w:val="18"/>
              <w:rFonts w:hint="eastAsia" w:ascii="黑体" w:hAnsi="黑体" w:eastAsia="黑体" w:cs="黑体"/>
              <w:color w:val="auto"/>
              <w:sz w:val="24"/>
              <w:szCs w:val="24"/>
            </w:rPr>
            <w:t>特色创新</w:t>
          </w:r>
          <w:r>
            <w:rPr>
              <w:sz w:val="24"/>
            </w:rPr>
            <w:tab/>
          </w:r>
          <w:r>
            <w:rPr>
              <w:rFonts w:hint="eastAsia"/>
              <w:sz w:val="24"/>
            </w:rPr>
            <w:t>2</w:t>
          </w:r>
          <w:r>
            <w:rPr>
              <w:rFonts w:hint="eastAsia"/>
              <w:sz w:val="24"/>
            </w:rPr>
            <w:fldChar w:fldCharType="end"/>
          </w:r>
          <w:r>
            <w:rPr>
              <w:rFonts w:hint="eastAsia"/>
              <w:sz w:val="24"/>
            </w:rPr>
            <w:t>3</w:t>
          </w:r>
        </w:p>
        <w:p>
          <w:pPr>
            <w:pStyle w:val="11"/>
            <w:tabs>
              <w:tab w:val="right" w:leader="dot" w:pos="9736"/>
            </w:tabs>
            <w:spacing w:line="360" w:lineRule="auto"/>
            <w:rPr>
              <w:sz w:val="24"/>
            </w:rPr>
          </w:pPr>
          <w:r>
            <w:fldChar w:fldCharType="begin"/>
          </w:r>
          <w:r>
            <w:instrText xml:space="preserve"> HYPERLINK \l "_Toc471905964" </w:instrText>
          </w:r>
          <w:r>
            <w:fldChar w:fldCharType="separate"/>
          </w:r>
          <w:r>
            <w:rPr>
              <w:rStyle w:val="18"/>
              <w:rFonts w:ascii="黑体" w:hAnsi="黑体" w:eastAsia="黑体" w:cs="黑体"/>
              <w:color w:val="auto"/>
              <w:sz w:val="24"/>
              <w:szCs w:val="24"/>
            </w:rPr>
            <w:t>8.</w:t>
          </w:r>
          <w:r>
            <w:rPr>
              <w:rStyle w:val="18"/>
              <w:rFonts w:hint="eastAsia" w:ascii="黑体" w:hAnsi="黑体" w:eastAsia="黑体" w:cs="黑体"/>
              <w:color w:val="auto"/>
              <w:sz w:val="24"/>
              <w:szCs w:val="24"/>
            </w:rPr>
            <w:t>主要问题和改进措施</w:t>
          </w:r>
          <w:r>
            <w:rPr>
              <w:sz w:val="24"/>
            </w:rPr>
            <w:tab/>
          </w:r>
          <w:r>
            <w:rPr>
              <w:sz w:val="24"/>
            </w:rPr>
            <w:fldChar w:fldCharType="end"/>
          </w:r>
          <w:r>
            <w:rPr>
              <w:rFonts w:hint="eastAsia"/>
              <w:sz w:val="24"/>
            </w:rPr>
            <w:t>25</w:t>
          </w:r>
        </w:p>
        <w:p>
          <w:pPr>
            <w:pStyle w:val="12"/>
            <w:tabs>
              <w:tab w:val="right" w:leader="dot" w:pos="9736"/>
            </w:tabs>
            <w:spacing w:line="360" w:lineRule="auto"/>
            <w:ind w:left="0" w:leftChars="0" w:firstLine="210" w:firstLineChars="100"/>
            <w:rPr>
              <w:rFonts w:asciiTheme="minorHAnsi" w:hAnsiTheme="minorHAnsi" w:cstheme="minorBidi"/>
              <w:sz w:val="24"/>
            </w:rPr>
          </w:pPr>
          <w:r>
            <w:fldChar w:fldCharType="begin"/>
          </w:r>
          <w:r>
            <w:instrText xml:space="preserve"> HYPERLINK \l "_Toc471905959" </w:instrText>
          </w:r>
          <w:r>
            <w:fldChar w:fldCharType="separate"/>
          </w:r>
          <w:r>
            <w:rPr>
              <w:rStyle w:val="18"/>
              <w:rFonts w:hint="eastAsia"/>
              <w:color w:val="auto"/>
              <w:sz w:val="24"/>
              <w:szCs w:val="24"/>
            </w:rPr>
            <w:t>8</w:t>
          </w:r>
          <w:r>
            <w:rPr>
              <w:rStyle w:val="18"/>
              <w:color w:val="auto"/>
              <w:sz w:val="24"/>
              <w:szCs w:val="24"/>
            </w:rPr>
            <w:t>.</w:t>
          </w:r>
          <w:r>
            <w:rPr>
              <w:rStyle w:val="18"/>
              <w:rFonts w:hint="eastAsia"/>
              <w:color w:val="auto"/>
              <w:sz w:val="24"/>
              <w:szCs w:val="24"/>
            </w:rPr>
            <w:t>1校舍不足对学校发展的制约</w:t>
          </w:r>
          <w:r>
            <w:rPr>
              <w:sz w:val="24"/>
            </w:rPr>
            <w:tab/>
          </w:r>
          <w:r>
            <w:rPr>
              <w:sz w:val="24"/>
            </w:rPr>
            <w:fldChar w:fldCharType="end"/>
          </w:r>
          <w:r>
            <w:rPr>
              <w:rFonts w:hint="eastAsia"/>
              <w:sz w:val="24"/>
            </w:rPr>
            <w:t>25</w:t>
          </w:r>
        </w:p>
        <w:p>
          <w:pPr>
            <w:pStyle w:val="12"/>
            <w:tabs>
              <w:tab w:val="right" w:leader="dot" w:pos="9736"/>
            </w:tabs>
            <w:spacing w:line="360" w:lineRule="auto"/>
            <w:ind w:left="0" w:leftChars="0" w:firstLine="211" w:firstLineChars="100"/>
            <w:rPr>
              <w:rFonts w:asciiTheme="minorHAnsi" w:hAnsiTheme="minorHAnsi" w:cstheme="minorBidi"/>
              <w:sz w:val="24"/>
            </w:rPr>
          </w:pPr>
          <w:r>
            <w:rPr>
              <w:b/>
              <w:bCs/>
              <w:lang w:val="zh-CN"/>
            </w:rPr>
            <w:fldChar w:fldCharType="end"/>
          </w:r>
          <w:r>
            <w:fldChar w:fldCharType="begin"/>
          </w:r>
          <w:r>
            <w:instrText xml:space="preserve"> HYPERLINK \l "_Toc471905959" </w:instrText>
          </w:r>
          <w:r>
            <w:fldChar w:fldCharType="separate"/>
          </w:r>
          <w:r>
            <w:rPr>
              <w:rFonts w:hint="eastAsia"/>
            </w:rPr>
            <w:t>8</w:t>
          </w:r>
          <w:r>
            <w:rPr>
              <w:rStyle w:val="18"/>
              <w:color w:val="auto"/>
              <w:sz w:val="24"/>
              <w:szCs w:val="24"/>
            </w:rPr>
            <w:t>.2</w:t>
          </w:r>
          <w:r>
            <w:rPr>
              <w:rStyle w:val="18"/>
              <w:rFonts w:hint="eastAsia"/>
              <w:color w:val="auto"/>
              <w:sz w:val="24"/>
              <w:szCs w:val="24"/>
            </w:rPr>
            <w:t>信息化教学资源建设和应用有待进一步加强</w:t>
          </w:r>
          <w:r>
            <w:rPr>
              <w:sz w:val="24"/>
            </w:rPr>
            <w:tab/>
          </w:r>
          <w:r>
            <w:rPr>
              <w:sz w:val="24"/>
            </w:rPr>
            <w:fldChar w:fldCharType="end"/>
          </w:r>
          <w:r>
            <w:rPr>
              <w:rFonts w:hint="eastAsia"/>
              <w:sz w:val="24"/>
            </w:rPr>
            <w:t>26</w:t>
          </w:r>
        </w:p>
        <w:p>
          <w:pPr>
            <w:pStyle w:val="6"/>
            <w:ind w:left="0" w:leftChars="0" w:firstLine="211" w:firstLineChars="100"/>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rPr>
              <w:b/>
              <w:bCs/>
              <w:lang w:val="zh-CN"/>
            </w:rPr>
          </w:pPr>
        </w:p>
        <w:p>
          <w:pPr>
            <w:pStyle w:val="6"/>
            <w:ind w:left="0" w:leftChars="0" w:firstLine="240" w:firstLineChars="100"/>
            <w:rPr>
              <w:rStyle w:val="18"/>
              <w:color w:val="auto"/>
              <w:sz w:val="24"/>
              <w:szCs w:val="24"/>
            </w:rPr>
          </w:pPr>
        </w:p>
        <w:p>
          <w:pPr>
            <w:pStyle w:val="6"/>
            <w:ind w:left="0" w:leftChars="0" w:firstLine="210" w:firstLineChars="100"/>
            <w:rPr>
              <w:rFonts w:asciiTheme="minorHAnsi" w:hAnsiTheme="minorHAnsi" w:eastAsiaTheme="minorEastAsia" w:cstheme="minorBidi"/>
              <w:sz w:val="24"/>
            </w:rPr>
          </w:pPr>
        </w:p>
      </w:sdtContent>
    </w:sdt>
    <w:p>
      <w:pPr>
        <w:adjustRightInd w:val="0"/>
        <w:spacing w:before="156" w:beforeLines="50" w:line="360" w:lineRule="auto"/>
        <w:rPr>
          <w:rFonts w:ascii="黑体" w:hAnsi="黑体" w:eastAsia="黑体" w:cs="黑体"/>
          <w:b/>
          <w:bCs/>
          <w:w w:val="80"/>
          <w:sz w:val="40"/>
          <w:szCs w:val="48"/>
        </w:rPr>
        <w:sectPr>
          <w:footerReference r:id="rId5" w:type="default"/>
          <w:pgSz w:w="11906" w:h="16838"/>
          <w:pgMar w:top="1440" w:right="1080" w:bottom="1440" w:left="1080" w:header="851" w:footer="992" w:gutter="0"/>
          <w:pgNumType w:fmt="numberInDash" w:start="1"/>
          <w:cols w:space="425" w:num="1"/>
          <w:docGrid w:type="lines" w:linePitch="312" w:charSpace="0"/>
        </w:sectPr>
      </w:pPr>
    </w:p>
    <w:p>
      <w:pPr>
        <w:adjustRightInd w:val="0"/>
        <w:spacing w:before="156" w:beforeLines="50" w:line="360" w:lineRule="auto"/>
        <w:jc w:val="center"/>
        <w:rPr>
          <w:rFonts w:ascii="黑体" w:hAnsi="黑体" w:eastAsia="黑体" w:cs="黑体"/>
          <w:b/>
          <w:bCs/>
          <w:w w:val="80"/>
          <w:sz w:val="40"/>
          <w:szCs w:val="48"/>
        </w:rPr>
      </w:pPr>
      <w:r>
        <w:rPr>
          <w:rFonts w:hint="eastAsia" w:ascii="黑体" w:hAnsi="黑体" w:eastAsia="黑体" w:cs="黑体"/>
          <w:b/>
          <w:bCs/>
          <w:w w:val="80"/>
          <w:sz w:val="40"/>
          <w:szCs w:val="48"/>
        </w:rPr>
        <w:t>海宁卫生学校2019年度教育质量报告</w:t>
      </w:r>
    </w:p>
    <w:bookmarkEnd w:id="0"/>
    <w:p>
      <w:pPr>
        <w:pStyle w:val="2"/>
        <w:keepNext w:val="0"/>
        <w:keepLines w:val="0"/>
        <w:adjustRightInd w:val="0"/>
        <w:snapToGrid w:val="0"/>
        <w:spacing w:before="312" w:beforeLines="100" w:line="360" w:lineRule="auto"/>
        <w:ind w:firstLine="452" w:firstLineChars="150"/>
        <w:rPr>
          <w:rFonts w:ascii="黑体" w:hAnsi="黑体" w:eastAsia="黑体" w:cs="黑体"/>
          <w:sz w:val="30"/>
          <w:szCs w:val="30"/>
        </w:rPr>
      </w:pPr>
      <w:bookmarkStart w:id="1" w:name="_Toc471905901"/>
      <w:bookmarkStart w:id="2" w:name="_Toc19282"/>
      <w:r>
        <w:rPr>
          <w:rFonts w:hint="eastAsia" w:ascii="黑体" w:hAnsi="黑体" w:eastAsia="黑体" w:cs="黑体"/>
          <w:sz w:val="30"/>
          <w:szCs w:val="30"/>
        </w:rPr>
        <w:t>1.学校情况</w:t>
      </w:r>
      <w:bookmarkEnd w:id="1"/>
    </w:p>
    <w:bookmarkEnd w:id="2"/>
    <w:p>
      <w:pPr>
        <w:pStyle w:val="3"/>
        <w:keepNext w:val="0"/>
        <w:keepLines w:val="0"/>
        <w:adjustRightInd w:val="0"/>
        <w:spacing w:line="360" w:lineRule="auto"/>
        <w:ind w:firstLine="420" w:firstLineChars="150"/>
        <w:rPr>
          <w:b w:val="0"/>
          <w:sz w:val="28"/>
          <w:szCs w:val="28"/>
        </w:rPr>
      </w:pPr>
      <w:bookmarkStart w:id="3" w:name="_Toc471905903"/>
      <w:bookmarkStart w:id="4" w:name="_Toc7097"/>
      <w:r>
        <w:rPr>
          <w:rFonts w:hint="eastAsia"/>
          <w:b w:val="0"/>
          <w:sz w:val="28"/>
          <w:szCs w:val="28"/>
        </w:rPr>
        <w:t>1.1学校概况</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海宁卫生学校</w:t>
      </w:r>
      <w:r>
        <w:rPr>
          <w:rFonts w:ascii="宋体" w:hAnsi="宋体" w:cs="宋体"/>
          <w:kern w:val="0"/>
          <w:sz w:val="24"/>
        </w:rPr>
        <w:t>创建于1958年</w:t>
      </w:r>
      <w:r>
        <w:rPr>
          <w:rFonts w:hint="eastAsia" w:ascii="宋体" w:hAnsi="宋体" w:cs="宋体"/>
          <w:kern w:val="0"/>
          <w:sz w:val="24"/>
        </w:rPr>
        <w:t>，2001年经嘉兴市人民政府批准为全日制普通中专，同年评为浙江省一级重点中专；2003年成立浙江省乡村医生培训分校，负责嘉兴地区乡村医生培训；2010年学校被教育部评定为国家级重点中等职业学校；201</w:t>
      </w:r>
      <w:r>
        <w:rPr>
          <w:rFonts w:ascii="宋体" w:hAnsi="宋体" w:cs="宋体"/>
          <w:kern w:val="0"/>
          <w:sz w:val="24"/>
        </w:rPr>
        <w:t>3</w:t>
      </w:r>
      <w:r>
        <w:rPr>
          <w:rFonts w:hint="eastAsia" w:ascii="宋体" w:hAnsi="宋体" w:cs="宋体"/>
          <w:kern w:val="0"/>
          <w:sz w:val="24"/>
        </w:rPr>
        <w:t>年评</w:t>
      </w:r>
      <w:r>
        <w:rPr>
          <w:rFonts w:ascii="宋体" w:hAnsi="宋体" w:cs="宋体"/>
          <w:kern w:val="0"/>
          <w:sz w:val="24"/>
        </w:rPr>
        <w:t>为</w:t>
      </w:r>
      <w:r>
        <w:rPr>
          <w:rFonts w:hint="eastAsia" w:ascii="宋体" w:hAnsi="宋体" w:cs="宋体"/>
          <w:kern w:val="0"/>
          <w:sz w:val="24"/>
        </w:rPr>
        <w:t>浙江</w:t>
      </w:r>
      <w:r>
        <w:rPr>
          <w:rFonts w:ascii="宋体" w:hAnsi="宋体" w:cs="宋体"/>
          <w:kern w:val="0"/>
          <w:sz w:val="24"/>
        </w:rPr>
        <w:t>省中等职业教育一级学校</w:t>
      </w:r>
      <w:r>
        <w:rPr>
          <w:rFonts w:hint="eastAsia" w:ascii="宋体" w:hAnsi="宋体" w:cs="宋体"/>
          <w:kern w:val="0"/>
          <w:sz w:val="24"/>
        </w:rPr>
        <w:t>；</w:t>
      </w:r>
      <w:r>
        <w:rPr>
          <w:rFonts w:hint="eastAsia" w:ascii="宋体" w:hAnsi="宋体" w:cs="宋体"/>
          <w:sz w:val="24"/>
        </w:rPr>
        <w:t>2017年评</w:t>
      </w:r>
      <w:r>
        <w:rPr>
          <w:rFonts w:ascii="宋体" w:hAnsi="宋体" w:cs="宋体"/>
          <w:sz w:val="24"/>
        </w:rPr>
        <w:t>为浙江省中职教育改革发展示范校</w:t>
      </w:r>
      <w:r>
        <w:rPr>
          <w:rFonts w:hint="eastAsia" w:ascii="宋体" w:hAnsi="宋体" w:cs="宋体"/>
          <w:sz w:val="24"/>
        </w:rPr>
        <w:t>。学校是</w:t>
      </w:r>
      <w:r>
        <w:rPr>
          <w:rFonts w:hint="eastAsia" w:ascii="宋体" w:hAnsi="宋体" w:cs="宋体"/>
          <w:kern w:val="0"/>
          <w:sz w:val="24"/>
        </w:rPr>
        <w:t>嘉兴市文明单位、海宁市平安校园（5A级）、浙江省禁毒教育示范学校、嘉兴市中小学首批智慧教育深度创新应用项目</w:t>
      </w:r>
      <w:bookmarkStart w:id="5" w:name="_Toc467049647"/>
      <w:r>
        <w:rPr>
          <w:rFonts w:hint="eastAsia" w:ascii="宋体" w:hAnsi="宋体" w:cs="宋体"/>
          <w:kern w:val="0"/>
          <w:sz w:val="24"/>
        </w:rPr>
        <w:t>、嘉兴市中等职业教育职业体验中心</w:t>
      </w:r>
      <w:bookmarkEnd w:id="5"/>
      <w:r>
        <w:rPr>
          <w:rFonts w:hint="eastAsia" w:ascii="宋体" w:hAnsi="宋体" w:cs="宋体"/>
          <w:kern w:val="0"/>
          <w:sz w:val="24"/>
        </w:rPr>
        <w:t>、海宁市中小学示范图书馆、</w:t>
      </w:r>
      <w:r>
        <w:rPr>
          <w:rFonts w:hint="eastAsia" w:ascii="宋体" w:hAnsi="宋体"/>
          <w:sz w:val="24"/>
          <w:szCs w:val="22"/>
        </w:rPr>
        <w:t>海宁市校园文化先进学校、海宁市示范“美丽校园”</w:t>
      </w:r>
      <w:r>
        <w:rPr>
          <w:rFonts w:hint="eastAsia" w:ascii="宋体" w:hAnsi="宋体" w:cs="宋体"/>
          <w:kern w:val="0"/>
          <w:sz w:val="24"/>
        </w:rPr>
        <w:t>、海宁市红十字应急救护培训基地、海宁市红十字工作重点样板校。</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sz w:val="24"/>
        </w:rPr>
        <w:t>2019年度，学校获中国职业技术教育学会职业院校护理专业教师教学能力大赛团体二等奖，第一批省中职品牌专业项目建设年度考核优秀，嘉兴市教育科研基地，应急救护培训工作先进集体，心理卫生工作先进单位等</w:t>
      </w:r>
      <w:r>
        <w:rPr>
          <w:rFonts w:hint="eastAsia" w:ascii="宋体" w:hAnsi="宋体" w:cs="宋体"/>
          <w:kern w:val="0"/>
          <w:sz w:val="24"/>
        </w:rPr>
        <w:t>荣誉。</w:t>
      </w:r>
    </w:p>
    <w:p>
      <w:pPr>
        <w:spacing w:line="360" w:lineRule="auto"/>
        <w:ind w:firstLine="480" w:firstLineChars="200"/>
        <w:rPr>
          <w:rFonts w:ascii="宋体" w:hAnsi="宋体" w:cs="宋体"/>
          <w:kern w:val="0"/>
          <w:sz w:val="24"/>
        </w:rPr>
      </w:pPr>
      <w:r>
        <w:rPr>
          <w:rFonts w:hint="eastAsia" w:ascii="宋体" w:hAnsi="宋体" w:cs="宋体"/>
          <w:kern w:val="0"/>
          <w:sz w:val="24"/>
        </w:rPr>
        <w:t>学校占地面积76590平方米，</w:t>
      </w:r>
      <w:r>
        <w:rPr>
          <w:rFonts w:ascii="宋体" w:hAnsi="宋体" w:cs="宋体"/>
          <w:kern w:val="0"/>
          <w:sz w:val="24"/>
        </w:rPr>
        <w:t>其</w:t>
      </w:r>
      <w:r>
        <w:rPr>
          <w:rFonts w:hint="eastAsia" w:ascii="宋体" w:hAnsi="宋体" w:cs="宋体"/>
          <w:kern w:val="0"/>
          <w:sz w:val="24"/>
        </w:rPr>
        <w:t>中教学校区占地面积38060平方米，校</w:t>
      </w:r>
      <w:r>
        <w:rPr>
          <w:rFonts w:ascii="宋体" w:hAnsi="宋体" w:cs="宋体"/>
          <w:kern w:val="0"/>
          <w:sz w:val="24"/>
        </w:rPr>
        <w:t>区</w:t>
      </w:r>
      <w:r>
        <w:rPr>
          <w:rFonts w:hint="eastAsia" w:ascii="宋体" w:hAnsi="宋体" w:cs="宋体"/>
          <w:kern w:val="0"/>
          <w:sz w:val="24"/>
        </w:rPr>
        <w:t>建筑面积28747平方米，教学区、运动区、生活区、实验区规划较为合理。建有多媒体教室40个，专业和基础实训室66个，塑胶田径运动场和看台，标准化篮球、排球场4个、乒乓球室、形体</w:t>
      </w:r>
      <w:r>
        <w:rPr>
          <w:rFonts w:ascii="宋体" w:hAnsi="宋体" w:cs="宋体"/>
          <w:kern w:val="0"/>
          <w:sz w:val="24"/>
        </w:rPr>
        <w:t>训练室</w:t>
      </w:r>
      <w:r>
        <w:rPr>
          <w:rFonts w:hint="eastAsia" w:ascii="宋体" w:hAnsi="宋体" w:cs="宋体"/>
          <w:kern w:val="0"/>
          <w:sz w:val="24"/>
        </w:rPr>
        <w:t>等文体活动设施，以及多元化食堂、公寓式宿舍、连锁超市等后勤保障设施。</w:t>
      </w:r>
    </w:p>
    <w:p>
      <w:pPr>
        <w:spacing w:line="360" w:lineRule="auto"/>
        <w:ind w:firstLine="480" w:firstLineChars="200"/>
      </w:pPr>
      <w:r>
        <w:rPr>
          <w:rFonts w:hint="eastAsia" w:ascii="宋体" w:hAnsi="宋体" w:cs="宋体"/>
          <w:kern w:val="0"/>
          <w:sz w:val="24"/>
        </w:rPr>
        <w:t>学校执行事业单位会计制度，办学经费主要有地方财政专项拨款、学历教育学费收入以及各类培训收入。学校至2019年底，流动资产721.90万元、非流动资产4964.4万元，非流动资产中包含固定资产3937.58万元，在建工程1026.82万元。</w:t>
      </w:r>
    </w:p>
    <w:p>
      <w:pPr>
        <w:pStyle w:val="3"/>
        <w:keepNext w:val="0"/>
        <w:keepLines w:val="0"/>
        <w:adjustRightInd w:val="0"/>
        <w:spacing w:line="360" w:lineRule="auto"/>
        <w:ind w:firstLine="420" w:firstLineChars="150"/>
        <w:rPr>
          <w:b w:val="0"/>
          <w:sz w:val="28"/>
          <w:szCs w:val="28"/>
        </w:rPr>
      </w:pPr>
      <w:r>
        <w:rPr>
          <w:rFonts w:hint="eastAsia"/>
          <w:b w:val="0"/>
          <w:sz w:val="28"/>
          <w:szCs w:val="28"/>
        </w:rPr>
        <w:t>1.2学生情况</w:t>
      </w:r>
      <w:bookmarkEnd w:id="3"/>
    </w:p>
    <w:p>
      <w:pPr>
        <w:adjustRightInd w:val="0"/>
        <w:snapToGrid w:val="0"/>
        <w:spacing w:line="500" w:lineRule="exact"/>
        <w:ind w:firstLine="480" w:firstLineChars="200"/>
        <w:rPr>
          <w:rFonts w:ascii="微软雅黑" w:hAnsi="微软雅黑" w:eastAsia="微软雅黑"/>
          <w:szCs w:val="21"/>
          <w:shd w:val="clear" w:color="auto" w:fill="FFFFFF"/>
        </w:rPr>
      </w:pPr>
      <w:bookmarkStart w:id="6" w:name="_Toc471905904"/>
      <w:r>
        <w:rPr>
          <w:rFonts w:hint="eastAsia" w:cs="宋体" w:asciiTheme="minorEastAsia" w:hAnsiTheme="minorEastAsia" w:eastAsiaTheme="minorEastAsia"/>
          <w:kern w:val="0"/>
          <w:sz w:val="24"/>
        </w:rPr>
        <w:t>截止201</w:t>
      </w:r>
      <w:r>
        <w:rPr>
          <w:rFonts w:cs="宋体" w:asciiTheme="minorEastAsia" w:hAnsiTheme="minorEastAsia" w:eastAsiaTheme="minorEastAsia"/>
          <w:kern w:val="0"/>
          <w:sz w:val="24"/>
        </w:rPr>
        <w:t>9</w:t>
      </w:r>
      <w:r>
        <w:rPr>
          <w:rFonts w:hint="eastAsia" w:cs="宋体" w:asciiTheme="minorEastAsia" w:hAnsiTheme="minorEastAsia" w:eastAsiaTheme="minorEastAsia"/>
          <w:kern w:val="0"/>
          <w:sz w:val="24"/>
        </w:rPr>
        <w:t>年12月，学校在校全日制学生</w:t>
      </w:r>
      <w:r>
        <w:rPr>
          <w:rFonts w:cs="宋体" w:asciiTheme="minorEastAsia" w:hAnsiTheme="minorEastAsia" w:eastAsiaTheme="minorEastAsia"/>
          <w:kern w:val="0"/>
          <w:sz w:val="24"/>
        </w:rPr>
        <w:t>2972</w:t>
      </w:r>
      <w:r>
        <w:rPr>
          <w:rFonts w:hint="eastAsia" w:cs="宋体" w:asciiTheme="minorEastAsia" w:hAnsiTheme="minorEastAsia" w:eastAsiaTheme="minorEastAsia"/>
          <w:kern w:val="0"/>
          <w:sz w:val="24"/>
        </w:rPr>
        <w:t>人，201</w:t>
      </w:r>
      <w:r>
        <w:rPr>
          <w:rFonts w:cs="宋体" w:asciiTheme="minorEastAsia" w:hAnsiTheme="minorEastAsia" w:eastAsiaTheme="minorEastAsia"/>
          <w:kern w:val="0"/>
          <w:sz w:val="24"/>
        </w:rPr>
        <w:t>9</w:t>
      </w:r>
      <w:r>
        <w:rPr>
          <w:rFonts w:hint="eastAsia" w:cs="宋体" w:asciiTheme="minorEastAsia" w:hAnsiTheme="minorEastAsia" w:eastAsiaTheme="minorEastAsia"/>
          <w:kern w:val="0"/>
          <w:sz w:val="24"/>
        </w:rPr>
        <w:t>年从全省各地市招收初中毕业生10</w:t>
      </w:r>
      <w:r>
        <w:rPr>
          <w:rFonts w:cs="宋体" w:asciiTheme="minorEastAsia" w:hAnsiTheme="minorEastAsia" w:eastAsiaTheme="minorEastAsia"/>
          <w:kern w:val="0"/>
          <w:sz w:val="24"/>
        </w:rPr>
        <w:t>88</w:t>
      </w:r>
      <w:r>
        <w:rPr>
          <w:rFonts w:hint="eastAsia" w:cs="宋体" w:asciiTheme="minorEastAsia" w:hAnsiTheme="minorEastAsia" w:eastAsiaTheme="minorEastAsia"/>
          <w:kern w:val="0"/>
          <w:sz w:val="24"/>
        </w:rPr>
        <w:t>人，招生保持</w:t>
      </w:r>
      <w:r>
        <w:rPr>
          <w:rFonts w:hint="eastAsia" w:ascii="宋体" w:hAnsi="宋体" w:cs="宋体"/>
          <w:kern w:val="0"/>
          <w:sz w:val="24"/>
        </w:rPr>
        <w:t>稳定，生源良好，录取分数线与普通高中接近，其中五年一贯制录取平均分均高于当地普高分数线；毕业学生</w:t>
      </w:r>
      <w:r>
        <w:rPr>
          <w:rFonts w:ascii="宋体" w:hAnsi="宋体" w:cs="宋体"/>
          <w:kern w:val="0"/>
          <w:sz w:val="24"/>
        </w:rPr>
        <w:t>864</w:t>
      </w:r>
      <w:r>
        <w:rPr>
          <w:rFonts w:hint="eastAsia" w:ascii="宋体" w:hAnsi="宋体" w:cs="宋体"/>
          <w:kern w:val="0"/>
          <w:sz w:val="24"/>
        </w:rPr>
        <w:t>人；2019年学生流失控制良好，上半年流失率为0.31%，下半年流失率为0.37%，巩固率分别为99.69%和99.63%。</w:t>
      </w:r>
    </w:p>
    <w:p>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2019年度，高等成人学历教育在校生1180人，参加乡村医生注册培训、执业（助理）医师考前辅导行业培训共654人，参加养老护理员培训、红十字会救护员培训、育婴员培训、青春期健康教育讲座等社会培训共4666人。</w:t>
      </w:r>
    </w:p>
    <w:p>
      <w:pPr>
        <w:adjustRightInd w:val="0"/>
        <w:snapToGrid w:val="0"/>
        <w:spacing w:line="500" w:lineRule="exact"/>
        <w:ind w:firstLine="241" w:firstLineChars="100"/>
        <w:rPr>
          <w:rFonts w:ascii="宋体" w:hAnsi="宋体" w:cs="宋体"/>
          <w:kern w:val="0"/>
          <w:sz w:val="24"/>
        </w:rPr>
      </w:pPr>
      <w:r>
        <w:rPr>
          <w:rFonts w:hint="eastAsia" w:ascii="宋体" w:hAnsi="宋体" w:cs="宋体"/>
          <w:b/>
          <w:kern w:val="0"/>
          <w:sz w:val="24"/>
        </w:rPr>
        <w:t>表1：201</w:t>
      </w:r>
      <w:r>
        <w:rPr>
          <w:rFonts w:ascii="宋体" w:hAnsi="宋体" w:cs="宋体"/>
          <w:b/>
          <w:kern w:val="0"/>
          <w:sz w:val="24"/>
        </w:rPr>
        <w:t>8</w:t>
      </w:r>
      <w:r>
        <w:rPr>
          <w:rFonts w:hint="eastAsia" w:ascii="宋体" w:hAnsi="宋体" w:cs="宋体"/>
          <w:b/>
          <w:kern w:val="0"/>
          <w:sz w:val="24"/>
        </w:rPr>
        <w:t>年度、201</w:t>
      </w:r>
      <w:r>
        <w:rPr>
          <w:rFonts w:ascii="宋体" w:hAnsi="宋体" w:cs="宋体"/>
          <w:b/>
          <w:kern w:val="0"/>
          <w:sz w:val="24"/>
        </w:rPr>
        <w:t>9</w:t>
      </w:r>
      <w:r>
        <w:rPr>
          <w:rFonts w:hint="eastAsia" w:ascii="宋体" w:hAnsi="宋体" w:cs="宋体"/>
          <w:b/>
          <w:kern w:val="0"/>
          <w:sz w:val="24"/>
        </w:rPr>
        <w:t>年度各</w:t>
      </w:r>
      <w:r>
        <w:rPr>
          <w:rFonts w:ascii="宋体" w:hAnsi="宋体" w:cs="宋体"/>
          <w:b/>
          <w:kern w:val="0"/>
          <w:sz w:val="24"/>
        </w:rPr>
        <w:t>专业招生人数</w:t>
      </w:r>
      <w:r>
        <w:rPr>
          <w:rFonts w:hint="eastAsia" w:ascii="宋体" w:hAnsi="宋体" w:cs="宋体"/>
          <w:b/>
          <w:kern w:val="0"/>
          <w:sz w:val="24"/>
        </w:rPr>
        <w:t>汇总比对表</w:t>
      </w:r>
    </w:p>
    <w:tbl>
      <w:tblPr>
        <w:tblStyle w:val="14"/>
        <w:tblW w:w="98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03"/>
        <w:gridCol w:w="2551"/>
        <w:gridCol w:w="2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spacing w:line="360" w:lineRule="auto"/>
              <w:ind w:firstLine="1560" w:firstLineChars="650"/>
              <w:rPr>
                <w:rFonts w:ascii="仿宋" w:hAnsi="仿宋" w:eastAsia="仿宋" w:cs="宋体"/>
                <w:kern w:val="0"/>
                <w:sz w:val="24"/>
              </w:rPr>
            </w:pPr>
            <w:r>
              <w:rPr>
                <w:rFonts w:hint="eastAsia" w:ascii="仿宋" w:hAnsi="仿宋" w:eastAsia="仿宋" w:cs="宋体"/>
                <w:kern w:val="0"/>
                <w:sz w:val="24"/>
              </w:rPr>
              <w:t>专   业</w:t>
            </w:r>
          </w:p>
        </w:tc>
        <w:tc>
          <w:tcPr>
            <w:tcW w:w="2551" w:type="dxa"/>
            <w:tcBorders>
              <w:right w:val="single" w:color="auto" w:sz="4" w:space="0"/>
            </w:tcBorders>
            <w:vAlign w:val="center"/>
          </w:tcPr>
          <w:p>
            <w:pPr>
              <w:spacing w:line="360" w:lineRule="auto"/>
              <w:ind w:firstLine="720" w:firstLineChars="300"/>
              <w:rPr>
                <w:rFonts w:ascii="仿宋" w:hAnsi="仿宋" w:eastAsia="仿宋" w:cs="宋体"/>
                <w:kern w:val="0"/>
                <w:sz w:val="24"/>
              </w:rPr>
            </w:pPr>
            <w:r>
              <w:rPr>
                <w:rFonts w:hint="eastAsia" w:ascii="仿宋" w:hAnsi="仿宋" w:eastAsia="仿宋" w:cs="宋体"/>
                <w:kern w:val="0"/>
                <w:sz w:val="24"/>
              </w:rPr>
              <w:t>201</w:t>
            </w:r>
            <w:r>
              <w:rPr>
                <w:rFonts w:ascii="仿宋" w:hAnsi="仿宋" w:eastAsia="仿宋" w:cs="宋体"/>
                <w:kern w:val="0"/>
                <w:sz w:val="24"/>
              </w:rPr>
              <w:t>8</w:t>
            </w:r>
            <w:r>
              <w:rPr>
                <w:rFonts w:hint="eastAsia" w:ascii="仿宋" w:hAnsi="仿宋" w:eastAsia="仿宋" w:cs="宋体"/>
                <w:kern w:val="0"/>
                <w:sz w:val="24"/>
              </w:rPr>
              <w:t>年</w:t>
            </w:r>
          </w:p>
        </w:tc>
        <w:tc>
          <w:tcPr>
            <w:tcW w:w="2826" w:type="dxa"/>
            <w:tcBorders>
              <w:left w:val="single" w:color="auto" w:sz="4" w:space="0"/>
            </w:tcBorders>
            <w:vAlign w:val="center"/>
          </w:tcPr>
          <w:p>
            <w:pPr>
              <w:spacing w:line="360" w:lineRule="auto"/>
              <w:ind w:firstLine="960" w:firstLineChars="400"/>
              <w:rPr>
                <w:rFonts w:ascii="仿宋" w:hAnsi="仿宋" w:eastAsia="仿宋" w:cs="宋体"/>
                <w:kern w:val="0"/>
                <w:sz w:val="24"/>
              </w:rPr>
            </w:pPr>
            <w:r>
              <w:rPr>
                <w:rFonts w:hint="eastAsia" w:ascii="仿宋" w:hAnsi="仿宋" w:eastAsia="仿宋" w:cs="宋体"/>
                <w:kern w:val="0"/>
                <w:sz w:val="24"/>
              </w:rPr>
              <w:t>201</w:t>
            </w:r>
            <w:r>
              <w:rPr>
                <w:rFonts w:ascii="仿宋" w:hAnsi="仿宋" w:eastAsia="仿宋" w:cs="宋体"/>
                <w:kern w:val="0"/>
                <w:sz w:val="24"/>
              </w:rPr>
              <w:t>9</w:t>
            </w:r>
            <w:r>
              <w:rPr>
                <w:rFonts w:hint="eastAsia" w:ascii="仿宋" w:hAnsi="仿宋" w:eastAsia="仿宋" w:cs="宋体"/>
                <w:kern w:val="0"/>
                <w:sz w:val="24"/>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护理（中本一体化）</w:t>
            </w:r>
          </w:p>
        </w:tc>
        <w:tc>
          <w:tcPr>
            <w:tcW w:w="2551" w:type="dxa"/>
            <w:tcBorders>
              <w:right w:val="single" w:color="auto" w:sz="4" w:space="0"/>
            </w:tcBorders>
            <w:vAlign w:val="center"/>
          </w:tcPr>
          <w:p>
            <w:pPr>
              <w:jc w:val="center"/>
              <w:rPr>
                <w:rFonts w:ascii="仿宋" w:hAnsi="仿宋" w:eastAsia="仿宋" w:cs="宋体"/>
                <w:sz w:val="24"/>
              </w:rPr>
            </w:pPr>
            <w:r>
              <w:rPr>
                <w:rFonts w:ascii="仿宋" w:hAnsi="仿宋" w:eastAsia="仿宋" w:cs="宋体"/>
                <w:sz w:val="24"/>
              </w:rPr>
              <w:t>39</w:t>
            </w:r>
          </w:p>
        </w:tc>
        <w:tc>
          <w:tcPr>
            <w:tcW w:w="282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护理（五年一贯制）</w:t>
            </w:r>
          </w:p>
        </w:tc>
        <w:tc>
          <w:tcPr>
            <w:tcW w:w="2551" w:type="dxa"/>
            <w:tcBorders>
              <w:right w:val="single" w:color="auto" w:sz="4" w:space="0"/>
            </w:tcBorders>
            <w:vAlign w:val="center"/>
          </w:tcPr>
          <w:p>
            <w:pPr>
              <w:jc w:val="center"/>
              <w:rPr>
                <w:rFonts w:ascii="仿宋" w:hAnsi="仿宋" w:eastAsia="仿宋" w:cs="宋体"/>
                <w:sz w:val="24"/>
              </w:rPr>
            </w:pPr>
            <w:r>
              <w:rPr>
                <w:rFonts w:ascii="仿宋" w:hAnsi="仿宋" w:eastAsia="仿宋" w:cs="宋体"/>
                <w:sz w:val="24"/>
              </w:rPr>
              <w:t>400</w:t>
            </w:r>
          </w:p>
        </w:tc>
        <w:tc>
          <w:tcPr>
            <w:tcW w:w="282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药学（五年一贯制）</w:t>
            </w:r>
          </w:p>
        </w:tc>
        <w:tc>
          <w:tcPr>
            <w:tcW w:w="2551" w:type="dxa"/>
            <w:tcBorders>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100</w:t>
            </w:r>
          </w:p>
        </w:tc>
        <w:tc>
          <w:tcPr>
            <w:tcW w:w="282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助产（五年一贯制）</w:t>
            </w:r>
          </w:p>
        </w:tc>
        <w:tc>
          <w:tcPr>
            <w:tcW w:w="2551" w:type="dxa"/>
            <w:tcBorders>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50</w:t>
            </w:r>
          </w:p>
        </w:tc>
        <w:tc>
          <w:tcPr>
            <w:tcW w:w="2826" w:type="dxa"/>
            <w:tcBorders>
              <w:lef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医学检验技术（五年一贯制）</w:t>
            </w:r>
          </w:p>
        </w:tc>
        <w:tc>
          <w:tcPr>
            <w:tcW w:w="2551" w:type="dxa"/>
            <w:tcBorders>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40</w:t>
            </w:r>
          </w:p>
        </w:tc>
        <w:tc>
          <w:tcPr>
            <w:tcW w:w="282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中药（五年一贯制）</w:t>
            </w:r>
          </w:p>
        </w:tc>
        <w:tc>
          <w:tcPr>
            <w:tcW w:w="2551" w:type="dxa"/>
            <w:tcBorders>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50</w:t>
            </w:r>
          </w:p>
        </w:tc>
        <w:tc>
          <w:tcPr>
            <w:tcW w:w="2826" w:type="dxa"/>
            <w:tcBorders>
              <w:lef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护理助产大类（普通中专）</w:t>
            </w:r>
          </w:p>
        </w:tc>
        <w:tc>
          <w:tcPr>
            <w:tcW w:w="2551" w:type="dxa"/>
            <w:tcBorders>
              <w:right w:val="single" w:color="auto" w:sz="4" w:space="0"/>
            </w:tcBorders>
            <w:vAlign w:val="center"/>
          </w:tcPr>
          <w:p>
            <w:pPr>
              <w:jc w:val="center"/>
              <w:rPr>
                <w:rFonts w:ascii="仿宋" w:hAnsi="仿宋" w:eastAsia="仿宋" w:cs="宋体"/>
                <w:sz w:val="24"/>
              </w:rPr>
            </w:pPr>
            <w:r>
              <w:rPr>
                <w:rFonts w:ascii="仿宋" w:hAnsi="仿宋" w:eastAsia="仿宋" w:cs="宋体"/>
                <w:sz w:val="24"/>
              </w:rPr>
              <w:t>241</w:t>
            </w:r>
          </w:p>
        </w:tc>
        <w:tc>
          <w:tcPr>
            <w:tcW w:w="282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药剂及技术大类（普通中专）</w:t>
            </w:r>
          </w:p>
        </w:tc>
        <w:tc>
          <w:tcPr>
            <w:tcW w:w="2551" w:type="dxa"/>
            <w:tcBorders>
              <w:right w:val="single" w:color="auto" w:sz="4" w:space="0"/>
            </w:tcBorders>
            <w:vAlign w:val="center"/>
          </w:tcPr>
          <w:p>
            <w:pPr>
              <w:jc w:val="center"/>
              <w:rPr>
                <w:rFonts w:ascii="仿宋" w:hAnsi="仿宋" w:eastAsia="仿宋" w:cs="宋体"/>
                <w:sz w:val="24"/>
              </w:rPr>
            </w:pPr>
            <w:r>
              <w:rPr>
                <w:rFonts w:ascii="仿宋" w:hAnsi="仿宋" w:eastAsia="仿宋" w:cs="宋体"/>
                <w:sz w:val="24"/>
              </w:rPr>
              <w:t>90</w:t>
            </w:r>
          </w:p>
        </w:tc>
        <w:tc>
          <w:tcPr>
            <w:tcW w:w="282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118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4503" w:type="dxa"/>
            <w:vAlign w:val="center"/>
          </w:tcPr>
          <w:p>
            <w:pPr>
              <w:widowControl/>
              <w:jc w:val="center"/>
              <w:rPr>
                <w:rFonts w:ascii="仿宋" w:hAnsi="仿宋" w:eastAsia="仿宋" w:cs="宋体"/>
                <w:b/>
                <w:sz w:val="24"/>
              </w:rPr>
            </w:pPr>
            <w:r>
              <w:rPr>
                <w:rFonts w:hint="eastAsia" w:ascii="仿宋" w:hAnsi="仿宋" w:eastAsia="仿宋" w:cs="宋体"/>
                <w:b/>
                <w:sz w:val="24"/>
              </w:rPr>
              <w:t>合        计</w:t>
            </w:r>
          </w:p>
        </w:tc>
        <w:tc>
          <w:tcPr>
            <w:tcW w:w="2551" w:type="dxa"/>
            <w:tcBorders>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10</w:t>
            </w:r>
            <w:r>
              <w:rPr>
                <w:rFonts w:ascii="仿宋" w:hAnsi="仿宋" w:eastAsia="仿宋" w:cs="宋体"/>
                <w:sz w:val="24"/>
              </w:rPr>
              <w:t>10</w:t>
            </w:r>
          </w:p>
        </w:tc>
        <w:tc>
          <w:tcPr>
            <w:tcW w:w="282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1088</w:t>
            </w:r>
          </w:p>
        </w:tc>
      </w:tr>
    </w:tbl>
    <w:p>
      <w:pPr>
        <w:adjustRightInd w:val="0"/>
        <w:snapToGrid w:val="0"/>
        <w:spacing w:line="500" w:lineRule="exact"/>
        <w:rPr>
          <w:rFonts w:ascii="宋体" w:hAnsi="宋体" w:cs="宋体"/>
          <w:b/>
          <w:i/>
          <w:kern w:val="0"/>
          <w:sz w:val="24"/>
        </w:rPr>
      </w:pPr>
    </w:p>
    <w:p>
      <w:pPr>
        <w:spacing w:line="360" w:lineRule="auto"/>
        <w:ind w:firstLine="241" w:firstLineChars="100"/>
        <w:rPr>
          <w:rFonts w:ascii="宋体" w:hAnsi="宋体" w:cs="宋体"/>
          <w:b/>
          <w:kern w:val="0"/>
          <w:sz w:val="24"/>
        </w:rPr>
      </w:pPr>
      <w:r>
        <w:rPr>
          <w:rFonts w:hint="eastAsia" w:ascii="宋体" w:hAnsi="宋体" w:cs="宋体"/>
          <w:b/>
          <w:sz w:val="24"/>
        </w:rPr>
        <w:t>表2：</w:t>
      </w:r>
      <w:r>
        <w:rPr>
          <w:rFonts w:hint="eastAsia" w:ascii="宋体" w:hAnsi="宋体" w:cs="宋体"/>
          <w:b/>
          <w:kern w:val="0"/>
          <w:sz w:val="24"/>
        </w:rPr>
        <w:t>201</w:t>
      </w:r>
      <w:r>
        <w:rPr>
          <w:rFonts w:ascii="宋体" w:hAnsi="宋体" w:cs="宋体"/>
          <w:b/>
          <w:kern w:val="0"/>
          <w:sz w:val="24"/>
        </w:rPr>
        <w:t>8</w:t>
      </w:r>
      <w:r>
        <w:rPr>
          <w:rFonts w:hint="eastAsia" w:ascii="宋体" w:hAnsi="宋体" w:cs="宋体"/>
          <w:b/>
          <w:kern w:val="0"/>
          <w:sz w:val="24"/>
        </w:rPr>
        <w:t>年度、201</w:t>
      </w:r>
      <w:r>
        <w:rPr>
          <w:rFonts w:ascii="宋体" w:hAnsi="宋体" w:cs="宋体"/>
          <w:b/>
          <w:kern w:val="0"/>
          <w:sz w:val="24"/>
        </w:rPr>
        <w:t>9</w:t>
      </w:r>
      <w:r>
        <w:rPr>
          <w:rFonts w:hint="eastAsia" w:ascii="宋体" w:hAnsi="宋体" w:cs="宋体"/>
          <w:b/>
          <w:kern w:val="0"/>
          <w:sz w:val="24"/>
        </w:rPr>
        <w:t>年度各</w:t>
      </w:r>
      <w:r>
        <w:rPr>
          <w:rFonts w:ascii="宋体" w:hAnsi="宋体" w:cs="宋体"/>
          <w:b/>
          <w:kern w:val="0"/>
          <w:sz w:val="24"/>
        </w:rPr>
        <w:t>专业</w:t>
      </w:r>
      <w:r>
        <w:rPr>
          <w:rFonts w:hint="eastAsia" w:ascii="宋体" w:hAnsi="宋体" w:cs="宋体"/>
          <w:b/>
          <w:kern w:val="0"/>
          <w:sz w:val="24"/>
        </w:rPr>
        <w:t>毕业生人数汇总比对表</w:t>
      </w:r>
    </w:p>
    <w:bookmarkEnd w:id="6"/>
    <w:tbl>
      <w:tblPr>
        <w:tblStyle w:val="14"/>
        <w:tblW w:w="984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03"/>
        <w:gridCol w:w="2551"/>
        <w:gridCol w:w="27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ind w:firstLine="1560" w:firstLineChars="650"/>
              <w:rPr>
                <w:rFonts w:ascii="仿宋" w:hAnsi="仿宋" w:eastAsia="仿宋" w:cs="宋体"/>
                <w:sz w:val="24"/>
              </w:rPr>
            </w:pPr>
            <w:bookmarkStart w:id="7" w:name="_Toc471905905"/>
            <w:r>
              <w:rPr>
                <w:rFonts w:hint="eastAsia" w:ascii="仿宋" w:hAnsi="仿宋" w:eastAsia="仿宋" w:cs="宋体"/>
                <w:sz w:val="24"/>
              </w:rPr>
              <w:t>专    业</w:t>
            </w:r>
          </w:p>
        </w:tc>
        <w:tc>
          <w:tcPr>
            <w:tcW w:w="2551" w:type="dxa"/>
            <w:tcBorders>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201</w:t>
            </w:r>
            <w:r>
              <w:rPr>
                <w:rFonts w:ascii="仿宋" w:hAnsi="仿宋" w:eastAsia="仿宋" w:cs="宋体"/>
                <w:sz w:val="24"/>
              </w:rPr>
              <w:t>8</w:t>
            </w:r>
            <w:r>
              <w:rPr>
                <w:rFonts w:hint="eastAsia" w:ascii="仿宋" w:hAnsi="仿宋" w:eastAsia="仿宋" w:cs="宋体"/>
                <w:sz w:val="24"/>
              </w:rPr>
              <w:t>年</w:t>
            </w:r>
          </w:p>
        </w:tc>
        <w:tc>
          <w:tcPr>
            <w:tcW w:w="2786" w:type="dxa"/>
            <w:tcBorders>
              <w:lef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201</w:t>
            </w:r>
            <w:r>
              <w:rPr>
                <w:rFonts w:ascii="仿宋" w:hAnsi="仿宋" w:eastAsia="仿宋" w:cs="宋体"/>
                <w:sz w:val="24"/>
              </w:rPr>
              <w:t>9</w:t>
            </w:r>
            <w:r>
              <w:rPr>
                <w:rFonts w:hint="eastAsia" w:ascii="仿宋" w:hAnsi="仿宋" w:eastAsia="仿宋" w:cs="宋体"/>
                <w:sz w:val="24"/>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护理（3+2）</w:t>
            </w:r>
          </w:p>
        </w:tc>
        <w:tc>
          <w:tcPr>
            <w:tcW w:w="2551" w:type="dxa"/>
            <w:tcBorders>
              <w:right w:val="single" w:color="auto" w:sz="4" w:space="0"/>
            </w:tcBorders>
            <w:vAlign w:val="center"/>
          </w:tcPr>
          <w:p>
            <w:pPr>
              <w:jc w:val="center"/>
              <w:rPr>
                <w:rFonts w:ascii="仿宋" w:hAnsi="仿宋" w:eastAsia="仿宋" w:cs="宋体"/>
                <w:sz w:val="24"/>
              </w:rPr>
            </w:pPr>
            <w:r>
              <w:rPr>
                <w:rFonts w:ascii="仿宋" w:hAnsi="仿宋" w:eastAsia="仿宋" w:cs="宋体"/>
                <w:sz w:val="24"/>
              </w:rPr>
              <w:t>180</w:t>
            </w:r>
          </w:p>
        </w:tc>
        <w:tc>
          <w:tcPr>
            <w:tcW w:w="278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护理（五年一贯制）</w:t>
            </w:r>
          </w:p>
        </w:tc>
        <w:tc>
          <w:tcPr>
            <w:tcW w:w="2551" w:type="dxa"/>
            <w:tcBorders>
              <w:right w:val="single" w:color="auto" w:sz="4" w:space="0"/>
            </w:tcBorders>
            <w:vAlign w:val="center"/>
          </w:tcPr>
          <w:p>
            <w:pPr>
              <w:jc w:val="center"/>
              <w:rPr>
                <w:rFonts w:ascii="仿宋" w:hAnsi="仿宋" w:eastAsia="仿宋" w:cs="宋体"/>
                <w:sz w:val="24"/>
              </w:rPr>
            </w:pPr>
            <w:r>
              <w:rPr>
                <w:rFonts w:ascii="仿宋" w:hAnsi="仿宋" w:eastAsia="仿宋" w:cs="宋体"/>
                <w:sz w:val="24"/>
              </w:rPr>
              <w:t>73</w:t>
            </w:r>
          </w:p>
        </w:tc>
        <w:tc>
          <w:tcPr>
            <w:tcW w:w="278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药学（五年一贯制）</w:t>
            </w:r>
          </w:p>
        </w:tc>
        <w:tc>
          <w:tcPr>
            <w:tcW w:w="2551" w:type="dxa"/>
            <w:tcBorders>
              <w:right w:val="single" w:color="auto" w:sz="4" w:space="0"/>
            </w:tcBorders>
            <w:vAlign w:val="center"/>
          </w:tcPr>
          <w:p>
            <w:pPr>
              <w:jc w:val="center"/>
              <w:rPr>
                <w:rFonts w:ascii="仿宋" w:hAnsi="仿宋" w:eastAsia="仿宋" w:cs="宋体"/>
                <w:sz w:val="24"/>
              </w:rPr>
            </w:pPr>
            <w:r>
              <w:rPr>
                <w:rFonts w:ascii="仿宋" w:hAnsi="仿宋" w:eastAsia="仿宋" w:cs="宋体"/>
                <w:sz w:val="24"/>
              </w:rPr>
              <w:t>80</w:t>
            </w:r>
          </w:p>
        </w:tc>
        <w:tc>
          <w:tcPr>
            <w:tcW w:w="278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药学（3+2）</w:t>
            </w:r>
          </w:p>
        </w:tc>
        <w:tc>
          <w:tcPr>
            <w:tcW w:w="2551" w:type="dxa"/>
            <w:tcBorders>
              <w:right w:val="single" w:color="auto" w:sz="4" w:space="0"/>
            </w:tcBorders>
            <w:vAlign w:val="center"/>
          </w:tcPr>
          <w:p>
            <w:pPr>
              <w:jc w:val="center"/>
              <w:rPr>
                <w:rFonts w:ascii="仿宋" w:hAnsi="仿宋" w:eastAsia="仿宋" w:cs="宋体"/>
                <w:sz w:val="24"/>
              </w:rPr>
            </w:pPr>
            <w:r>
              <w:rPr>
                <w:rFonts w:ascii="仿宋" w:hAnsi="仿宋" w:eastAsia="仿宋" w:cs="宋体"/>
                <w:sz w:val="24"/>
              </w:rPr>
              <w:t>37</w:t>
            </w:r>
          </w:p>
        </w:tc>
        <w:tc>
          <w:tcPr>
            <w:tcW w:w="278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医学检验技术（五年一贯制）</w:t>
            </w:r>
          </w:p>
        </w:tc>
        <w:tc>
          <w:tcPr>
            <w:tcW w:w="2551" w:type="dxa"/>
            <w:tcBorders>
              <w:right w:val="single" w:color="auto" w:sz="4" w:space="0"/>
            </w:tcBorders>
            <w:vAlign w:val="center"/>
          </w:tcPr>
          <w:p>
            <w:pPr>
              <w:jc w:val="center"/>
              <w:rPr>
                <w:rFonts w:ascii="仿宋" w:hAnsi="仿宋" w:eastAsia="仿宋" w:cs="宋体"/>
                <w:sz w:val="24"/>
              </w:rPr>
            </w:pPr>
            <w:r>
              <w:rPr>
                <w:rFonts w:ascii="仿宋" w:hAnsi="仿宋" w:eastAsia="仿宋" w:cs="宋体"/>
                <w:sz w:val="24"/>
              </w:rPr>
              <w:t>40</w:t>
            </w:r>
          </w:p>
        </w:tc>
        <w:tc>
          <w:tcPr>
            <w:tcW w:w="278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护理（普通中专）</w:t>
            </w:r>
          </w:p>
        </w:tc>
        <w:tc>
          <w:tcPr>
            <w:tcW w:w="2551" w:type="dxa"/>
            <w:tcBorders>
              <w:right w:val="single" w:color="auto" w:sz="4" w:space="0"/>
            </w:tcBorders>
            <w:vAlign w:val="center"/>
          </w:tcPr>
          <w:p>
            <w:pPr>
              <w:jc w:val="center"/>
              <w:rPr>
                <w:rFonts w:ascii="仿宋" w:hAnsi="仿宋" w:eastAsia="仿宋" w:cs="宋体"/>
                <w:sz w:val="24"/>
              </w:rPr>
            </w:pPr>
            <w:r>
              <w:rPr>
                <w:rFonts w:ascii="仿宋" w:hAnsi="仿宋" w:eastAsia="仿宋" w:cs="宋体"/>
                <w:sz w:val="24"/>
              </w:rPr>
              <w:t>397</w:t>
            </w:r>
          </w:p>
        </w:tc>
        <w:tc>
          <w:tcPr>
            <w:tcW w:w="278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医学影像技术（普通中专）</w:t>
            </w:r>
          </w:p>
        </w:tc>
        <w:tc>
          <w:tcPr>
            <w:tcW w:w="2551" w:type="dxa"/>
            <w:tcBorders>
              <w:right w:val="single" w:color="auto" w:sz="4" w:space="0"/>
            </w:tcBorders>
            <w:vAlign w:val="center"/>
          </w:tcPr>
          <w:p>
            <w:pPr>
              <w:jc w:val="center"/>
              <w:rPr>
                <w:rFonts w:ascii="仿宋" w:hAnsi="仿宋" w:eastAsia="仿宋" w:cs="宋体"/>
                <w:sz w:val="24"/>
              </w:rPr>
            </w:pPr>
            <w:r>
              <w:rPr>
                <w:rFonts w:ascii="仿宋" w:hAnsi="仿宋" w:eastAsia="仿宋" w:cs="宋体"/>
                <w:sz w:val="24"/>
              </w:rPr>
              <w:t>47</w:t>
            </w:r>
          </w:p>
        </w:tc>
        <w:tc>
          <w:tcPr>
            <w:tcW w:w="278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药剂（普通中专）</w:t>
            </w:r>
          </w:p>
        </w:tc>
        <w:tc>
          <w:tcPr>
            <w:tcW w:w="2551" w:type="dxa"/>
            <w:tcBorders>
              <w:right w:val="single" w:color="auto" w:sz="4" w:space="0"/>
            </w:tcBorders>
            <w:vAlign w:val="center"/>
          </w:tcPr>
          <w:p>
            <w:pPr>
              <w:jc w:val="center"/>
              <w:rPr>
                <w:rFonts w:ascii="仿宋" w:hAnsi="仿宋" w:eastAsia="仿宋" w:cs="宋体"/>
                <w:sz w:val="24"/>
              </w:rPr>
            </w:pPr>
            <w:r>
              <w:rPr>
                <w:rFonts w:ascii="仿宋" w:hAnsi="仿宋" w:eastAsia="仿宋" w:cs="宋体"/>
                <w:sz w:val="24"/>
              </w:rPr>
              <w:t>67</w:t>
            </w:r>
          </w:p>
        </w:tc>
        <w:tc>
          <w:tcPr>
            <w:tcW w:w="278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医学检验</w:t>
            </w:r>
            <w:r>
              <w:rPr>
                <w:rFonts w:ascii="仿宋" w:hAnsi="仿宋" w:eastAsia="仿宋" w:cs="宋体"/>
                <w:sz w:val="24"/>
              </w:rPr>
              <w:t>（</w:t>
            </w:r>
            <w:r>
              <w:rPr>
                <w:rFonts w:hint="eastAsia" w:ascii="仿宋" w:hAnsi="仿宋" w:eastAsia="仿宋" w:cs="宋体"/>
                <w:sz w:val="24"/>
              </w:rPr>
              <w:t>普通中专</w:t>
            </w:r>
            <w:r>
              <w:rPr>
                <w:rFonts w:ascii="仿宋" w:hAnsi="仿宋" w:eastAsia="仿宋" w:cs="宋体"/>
                <w:sz w:val="24"/>
              </w:rPr>
              <w:t>）</w:t>
            </w:r>
          </w:p>
        </w:tc>
        <w:tc>
          <w:tcPr>
            <w:tcW w:w="2551" w:type="dxa"/>
            <w:tcBorders>
              <w:right w:val="single" w:color="auto" w:sz="4" w:space="0"/>
            </w:tcBorders>
            <w:vAlign w:val="center"/>
          </w:tcPr>
          <w:p>
            <w:pPr>
              <w:jc w:val="center"/>
              <w:rPr>
                <w:rFonts w:ascii="仿宋" w:hAnsi="仿宋" w:eastAsia="仿宋" w:cs="宋体"/>
                <w:sz w:val="24"/>
              </w:rPr>
            </w:pPr>
            <w:r>
              <w:rPr>
                <w:rFonts w:ascii="仿宋" w:hAnsi="仿宋" w:eastAsia="仿宋" w:cs="宋体"/>
                <w:sz w:val="24"/>
              </w:rPr>
              <w:t>43</w:t>
            </w:r>
          </w:p>
        </w:tc>
        <w:tc>
          <w:tcPr>
            <w:tcW w:w="2786" w:type="dxa"/>
            <w:tcBorders>
              <w:lef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助产</w:t>
            </w:r>
            <w:r>
              <w:rPr>
                <w:rFonts w:ascii="仿宋" w:hAnsi="仿宋" w:eastAsia="仿宋" w:cs="宋体"/>
                <w:sz w:val="24"/>
              </w:rPr>
              <w:t>（</w:t>
            </w:r>
            <w:r>
              <w:rPr>
                <w:rFonts w:hint="eastAsia" w:ascii="仿宋" w:hAnsi="仿宋" w:eastAsia="仿宋" w:cs="宋体"/>
                <w:sz w:val="24"/>
              </w:rPr>
              <w:t>普通中专</w:t>
            </w:r>
            <w:r>
              <w:rPr>
                <w:rFonts w:ascii="仿宋" w:hAnsi="仿宋" w:eastAsia="仿宋" w:cs="宋体"/>
                <w:sz w:val="24"/>
              </w:rPr>
              <w:t>）</w:t>
            </w:r>
          </w:p>
        </w:tc>
        <w:tc>
          <w:tcPr>
            <w:tcW w:w="2551" w:type="dxa"/>
            <w:tcBorders>
              <w:right w:val="single" w:color="auto" w:sz="4" w:space="0"/>
            </w:tcBorders>
            <w:vAlign w:val="center"/>
          </w:tcPr>
          <w:p>
            <w:pPr>
              <w:jc w:val="center"/>
              <w:rPr>
                <w:rFonts w:ascii="仿宋" w:hAnsi="仿宋" w:eastAsia="仿宋" w:cs="宋体"/>
                <w:sz w:val="24"/>
              </w:rPr>
            </w:pPr>
            <w:r>
              <w:rPr>
                <w:rFonts w:ascii="仿宋" w:hAnsi="仿宋" w:eastAsia="仿宋" w:cs="宋体"/>
                <w:sz w:val="24"/>
              </w:rPr>
              <w:t>60</w:t>
            </w:r>
          </w:p>
        </w:tc>
        <w:tc>
          <w:tcPr>
            <w:tcW w:w="278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中</w:t>
            </w:r>
            <w:r>
              <w:rPr>
                <w:rFonts w:ascii="仿宋" w:hAnsi="仿宋" w:eastAsia="仿宋" w:cs="宋体"/>
                <w:sz w:val="24"/>
              </w:rPr>
              <w:t>药（</w:t>
            </w:r>
            <w:r>
              <w:rPr>
                <w:rFonts w:hint="eastAsia" w:ascii="仿宋" w:hAnsi="仿宋" w:eastAsia="仿宋" w:cs="宋体"/>
                <w:sz w:val="24"/>
              </w:rPr>
              <w:t>五年一贯制</w:t>
            </w:r>
            <w:r>
              <w:rPr>
                <w:rFonts w:ascii="仿宋" w:hAnsi="仿宋" w:eastAsia="仿宋" w:cs="宋体"/>
                <w:sz w:val="24"/>
              </w:rPr>
              <w:t>）</w:t>
            </w:r>
          </w:p>
        </w:tc>
        <w:tc>
          <w:tcPr>
            <w:tcW w:w="2551" w:type="dxa"/>
            <w:tcBorders>
              <w:righ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w:t>
            </w:r>
          </w:p>
        </w:tc>
        <w:tc>
          <w:tcPr>
            <w:tcW w:w="2786" w:type="dxa"/>
            <w:tcBorders>
              <w:left w:val="single" w:color="auto" w:sz="4" w:space="0"/>
            </w:tcBorders>
            <w:vAlign w:val="center"/>
          </w:tcPr>
          <w:p>
            <w:pPr>
              <w:jc w:val="center"/>
              <w:rPr>
                <w:rFonts w:ascii="仿宋" w:hAnsi="仿宋" w:eastAsia="仿宋" w:cs="宋体"/>
                <w:sz w:val="24"/>
              </w:rPr>
            </w:pPr>
            <w:r>
              <w:rPr>
                <w:rFonts w:hint="eastAsia" w:ascii="仿宋" w:hAnsi="仿宋" w:eastAsia="仿宋" w:cs="宋体"/>
                <w:sz w:val="24"/>
              </w:rPr>
              <w:t>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trPr>
        <w:tc>
          <w:tcPr>
            <w:tcW w:w="4503" w:type="dxa"/>
            <w:vAlign w:val="center"/>
          </w:tcPr>
          <w:p>
            <w:pPr>
              <w:widowControl/>
              <w:jc w:val="center"/>
              <w:rPr>
                <w:rFonts w:ascii="仿宋" w:hAnsi="仿宋" w:eastAsia="仿宋" w:cs="宋体"/>
                <w:sz w:val="24"/>
              </w:rPr>
            </w:pPr>
            <w:r>
              <w:rPr>
                <w:rFonts w:hint="eastAsia" w:ascii="仿宋" w:hAnsi="仿宋" w:eastAsia="仿宋" w:cs="宋体"/>
                <w:sz w:val="24"/>
              </w:rPr>
              <w:t>合          计</w:t>
            </w:r>
          </w:p>
        </w:tc>
        <w:tc>
          <w:tcPr>
            <w:tcW w:w="2551" w:type="dxa"/>
            <w:tcBorders>
              <w:right w:val="single" w:color="auto" w:sz="4" w:space="0"/>
            </w:tcBorders>
            <w:vAlign w:val="center"/>
          </w:tcPr>
          <w:p>
            <w:pPr>
              <w:jc w:val="center"/>
              <w:rPr>
                <w:rFonts w:ascii="仿宋" w:hAnsi="仿宋" w:eastAsia="仿宋" w:cs="宋体"/>
                <w:sz w:val="24"/>
              </w:rPr>
            </w:pPr>
            <w:r>
              <w:rPr>
                <w:rFonts w:ascii="仿宋" w:hAnsi="仿宋" w:eastAsia="仿宋" w:cs="宋体"/>
                <w:sz w:val="24"/>
              </w:rPr>
              <w:t>1024</w:t>
            </w:r>
          </w:p>
        </w:tc>
        <w:tc>
          <w:tcPr>
            <w:tcW w:w="2786" w:type="dxa"/>
            <w:tcBorders>
              <w:left w:val="single" w:color="auto" w:sz="4" w:space="0"/>
            </w:tcBorders>
            <w:vAlign w:val="center"/>
          </w:tcPr>
          <w:p>
            <w:pPr>
              <w:jc w:val="center"/>
              <w:rPr>
                <w:rFonts w:ascii="仿宋" w:hAnsi="仿宋" w:eastAsia="仿宋" w:cs="宋体"/>
                <w:sz w:val="24"/>
              </w:rPr>
            </w:pPr>
            <w:r>
              <w:rPr>
                <w:rFonts w:ascii="仿宋" w:hAnsi="仿宋" w:eastAsia="仿宋" w:cs="宋体"/>
                <w:sz w:val="24"/>
              </w:rPr>
              <w:t>864</w:t>
            </w:r>
          </w:p>
        </w:tc>
      </w:tr>
    </w:tbl>
    <w:p>
      <w:pPr>
        <w:pStyle w:val="3"/>
        <w:keepNext w:val="0"/>
        <w:keepLines w:val="0"/>
        <w:adjustRightInd w:val="0"/>
        <w:spacing w:line="360" w:lineRule="auto"/>
        <w:ind w:firstLine="280" w:firstLineChars="100"/>
        <w:rPr>
          <w:b w:val="0"/>
          <w:sz w:val="28"/>
          <w:szCs w:val="28"/>
        </w:rPr>
      </w:pPr>
      <w:r>
        <w:rPr>
          <w:rFonts w:hint="eastAsia"/>
          <w:b w:val="0"/>
          <w:sz w:val="28"/>
          <w:szCs w:val="28"/>
        </w:rPr>
        <w:t>1.3教师队伍</w:t>
      </w:r>
    </w:p>
    <w:p>
      <w:pPr>
        <w:spacing w:line="360" w:lineRule="auto"/>
        <w:ind w:firstLine="480" w:firstLineChars="200"/>
        <w:rPr>
          <w:rFonts w:ascii="宋体" w:hAnsi="宋体" w:cs="宋体"/>
          <w:kern w:val="0"/>
          <w:sz w:val="24"/>
        </w:rPr>
      </w:pPr>
      <w:r>
        <w:rPr>
          <w:rFonts w:hint="eastAsia" w:ascii="宋体" w:hAnsi="宋体" w:cs="宋体"/>
          <w:kern w:val="0"/>
          <w:sz w:val="24"/>
        </w:rPr>
        <w:t>截至201</w:t>
      </w:r>
      <w:r>
        <w:rPr>
          <w:rFonts w:ascii="宋体" w:hAnsi="宋体" w:cs="宋体"/>
          <w:kern w:val="0"/>
          <w:sz w:val="24"/>
        </w:rPr>
        <w:t>9</w:t>
      </w:r>
      <w:r>
        <w:rPr>
          <w:rFonts w:hint="eastAsia" w:ascii="宋体" w:hAnsi="宋体" w:cs="宋体"/>
          <w:kern w:val="0"/>
          <w:sz w:val="24"/>
        </w:rPr>
        <w:t>年12月，学校教师总数为20</w:t>
      </w:r>
      <w:r>
        <w:rPr>
          <w:rFonts w:ascii="宋体" w:hAnsi="宋体" w:cs="宋体"/>
          <w:kern w:val="0"/>
          <w:sz w:val="24"/>
        </w:rPr>
        <w:t>7</w:t>
      </w:r>
      <w:r>
        <w:rPr>
          <w:rFonts w:hint="eastAsia" w:ascii="宋体" w:hAnsi="宋体" w:cs="宋体"/>
          <w:kern w:val="0"/>
          <w:sz w:val="24"/>
        </w:rPr>
        <w:t>人，其中专任教师17</w:t>
      </w:r>
      <w:r>
        <w:rPr>
          <w:rFonts w:ascii="宋体" w:hAnsi="宋体" w:cs="宋体"/>
          <w:kern w:val="0"/>
          <w:sz w:val="24"/>
        </w:rPr>
        <w:t>9</w:t>
      </w:r>
      <w:r>
        <w:rPr>
          <w:rFonts w:hint="eastAsia" w:ascii="宋体" w:hAnsi="宋体" w:cs="宋体"/>
          <w:kern w:val="0"/>
          <w:sz w:val="24"/>
        </w:rPr>
        <w:t>人，外聘兼职教师28人。专任教师与全日制学历教育在校生的比例为1：16.</w:t>
      </w:r>
      <w:r>
        <w:rPr>
          <w:rFonts w:ascii="宋体" w:hAnsi="宋体" w:cs="宋体"/>
          <w:kern w:val="0"/>
          <w:sz w:val="24"/>
        </w:rPr>
        <w:t>6</w:t>
      </w:r>
      <w:r>
        <w:rPr>
          <w:rFonts w:hint="eastAsia" w:ascii="宋体" w:hAnsi="宋体" w:cs="宋体"/>
          <w:kern w:val="0"/>
          <w:sz w:val="24"/>
        </w:rPr>
        <w:t>；专业教师“双师型”比例为8</w:t>
      </w:r>
      <w:r>
        <w:rPr>
          <w:rFonts w:ascii="宋体" w:hAnsi="宋体" w:cs="宋体"/>
          <w:kern w:val="0"/>
          <w:sz w:val="24"/>
        </w:rPr>
        <w:t>8</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%；兼职教师比例15.</w:t>
      </w:r>
      <w:r>
        <w:rPr>
          <w:rFonts w:ascii="宋体" w:hAnsi="宋体" w:cs="宋体"/>
          <w:kern w:val="0"/>
          <w:sz w:val="24"/>
        </w:rPr>
        <w:t>6</w:t>
      </w:r>
      <w:r>
        <w:rPr>
          <w:rFonts w:hint="eastAsia" w:ascii="宋体" w:hAnsi="宋体" w:cs="宋体"/>
          <w:kern w:val="0"/>
          <w:sz w:val="24"/>
        </w:rPr>
        <w:t>%；专任教师本科以上学历比例100%；专任教师硕士以上学历比例15.6%；专任教师高级职称比例3</w:t>
      </w:r>
      <w:r>
        <w:rPr>
          <w:rFonts w:ascii="宋体" w:hAnsi="宋体" w:cs="宋体"/>
          <w:kern w:val="0"/>
          <w:sz w:val="24"/>
        </w:rPr>
        <w:t>4</w:t>
      </w: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%。市级以上名优教师</w:t>
      </w:r>
      <w:r>
        <w:rPr>
          <w:rFonts w:ascii="宋体" w:hAnsi="宋体" w:cs="宋体"/>
          <w:kern w:val="0"/>
          <w:sz w:val="24"/>
        </w:rPr>
        <w:t>31</w:t>
      </w:r>
      <w:r>
        <w:rPr>
          <w:rFonts w:hint="eastAsia" w:ascii="宋体" w:hAnsi="宋体" w:cs="宋体"/>
          <w:kern w:val="0"/>
          <w:sz w:val="24"/>
        </w:rPr>
        <w:t>人，其中浙江省“三名工程”中职名师1人，嘉</w:t>
      </w:r>
      <w:r>
        <w:rPr>
          <w:rFonts w:ascii="宋体" w:hAnsi="宋体" w:cs="宋体"/>
          <w:kern w:val="0"/>
          <w:sz w:val="24"/>
        </w:rPr>
        <w:t>兴市优秀班主任工作室</w:t>
      </w:r>
      <w:r>
        <w:rPr>
          <w:rFonts w:hint="eastAsia" w:ascii="宋体" w:hAnsi="宋体" w:cs="宋体"/>
          <w:kern w:val="0"/>
          <w:sz w:val="24"/>
        </w:rPr>
        <w:t>1人</w:t>
      </w:r>
      <w:r>
        <w:rPr>
          <w:rFonts w:ascii="宋体" w:hAnsi="宋体" w:cs="宋体"/>
          <w:kern w:val="0"/>
          <w:sz w:val="24"/>
        </w:rPr>
        <w:t>，</w:t>
      </w:r>
      <w:r>
        <w:rPr>
          <w:rFonts w:hint="eastAsia" w:ascii="宋体" w:hAnsi="宋体" w:cs="宋体"/>
          <w:kern w:val="0"/>
          <w:sz w:val="24"/>
        </w:rPr>
        <w:t>嘉兴市名师1人，嘉兴市学科教学带头人1人，嘉兴市名校长1人，海宁市名师3人，海宁市学科教学带头人</w:t>
      </w:r>
      <w:r>
        <w:rPr>
          <w:rFonts w:ascii="宋体" w:hAnsi="宋体" w:cs="宋体"/>
          <w:kern w:val="0"/>
          <w:sz w:val="24"/>
        </w:rPr>
        <w:t>6</w:t>
      </w:r>
      <w:r>
        <w:rPr>
          <w:rFonts w:hint="eastAsia" w:ascii="宋体" w:hAnsi="宋体" w:cs="宋体"/>
          <w:kern w:val="0"/>
          <w:sz w:val="24"/>
        </w:rPr>
        <w:t>人，海宁市骨干教师1</w:t>
      </w:r>
      <w:r>
        <w:rPr>
          <w:rFonts w:ascii="宋体" w:hAnsi="宋体" w:cs="宋体"/>
          <w:kern w:val="0"/>
          <w:sz w:val="24"/>
        </w:rPr>
        <w:t>9</w:t>
      </w:r>
      <w:r>
        <w:rPr>
          <w:rFonts w:hint="eastAsia" w:ascii="宋体" w:hAnsi="宋体" w:cs="宋体"/>
          <w:kern w:val="0"/>
          <w:sz w:val="24"/>
        </w:rPr>
        <w:t>人，海宁市职业教育专业带头人4人。</w:t>
      </w:r>
    </w:p>
    <w:p>
      <w:pPr>
        <w:spacing w:line="360" w:lineRule="auto"/>
        <w:ind w:firstLine="480" w:firstLineChars="200"/>
        <w:rPr>
          <w:rFonts w:ascii="宋体" w:hAnsi="宋体" w:cs="宋体"/>
          <w:kern w:val="0"/>
          <w:sz w:val="24"/>
        </w:rPr>
      </w:pPr>
      <w:r>
        <w:rPr>
          <w:rFonts w:hint="eastAsia" w:ascii="宋体" w:hAnsi="宋体" w:cs="宋体"/>
          <w:kern w:val="0"/>
          <w:sz w:val="24"/>
        </w:rPr>
        <w:t>表3：201</w:t>
      </w:r>
      <w:r>
        <w:rPr>
          <w:rFonts w:ascii="宋体" w:hAnsi="宋体" w:cs="宋体"/>
          <w:kern w:val="0"/>
          <w:sz w:val="24"/>
        </w:rPr>
        <w:t>8</w:t>
      </w:r>
      <w:r>
        <w:rPr>
          <w:rFonts w:hint="eastAsia" w:ascii="宋体" w:hAnsi="宋体" w:cs="宋体"/>
          <w:kern w:val="0"/>
          <w:sz w:val="24"/>
        </w:rPr>
        <w:t>年度、201</w:t>
      </w:r>
      <w:r>
        <w:rPr>
          <w:rFonts w:ascii="宋体" w:hAnsi="宋体" w:cs="宋体"/>
          <w:kern w:val="0"/>
          <w:sz w:val="24"/>
        </w:rPr>
        <w:t>9</w:t>
      </w:r>
      <w:r>
        <w:rPr>
          <w:rFonts w:hint="eastAsia" w:ascii="宋体" w:hAnsi="宋体" w:cs="宋体"/>
          <w:kern w:val="0"/>
          <w:sz w:val="24"/>
        </w:rPr>
        <w:t>年度师资队伍结构情况比对表</w:t>
      </w:r>
    </w:p>
    <w:tbl>
      <w:tblPr>
        <w:tblStyle w:val="14"/>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3"/>
        <w:gridCol w:w="2836"/>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trPr>
        <w:tc>
          <w:tcPr>
            <w:tcW w:w="4253" w:type="dxa"/>
            <w:vAlign w:val="center"/>
          </w:tcPr>
          <w:p>
            <w:pPr>
              <w:jc w:val="center"/>
              <w:rPr>
                <w:rFonts w:ascii="仿宋" w:hAnsi="仿宋" w:eastAsia="仿宋"/>
                <w:sz w:val="24"/>
              </w:rPr>
            </w:pPr>
            <w:r>
              <w:rPr>
                <w:rFonts w:hint="eastAsia" w:ascii="仿宋" w:hAnsi="仿宋" w:eastAsia="仿宋"/>
                <w:sz w:val="24"/>
              </w:rPr>
              <w:t>指   标</w:t>
            </w:r>
          </w:p>
        </w:tc>
        <w:tc>
          <w:tcPr>
            <w:tcW w:w="2836"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2018年</w:t>
            </w:r>
          </w:p>
        </w:tc>
        <w:tc>
          <w:tcPr>
            <w:tcW w:w="2550" w:type="dxa"/>
            <w:vAlign w:val="center"/>
          </w:tcPr>
          <w:p>
            <w:pPr>
              <w:jc w:val="center"/>
              <w:rPr>
                <w:rFonts w:ascii="仿宋" w:hAnsi="仿宋" w:eastAsia="仿宋" w:cs="仿宋"/>
                <w:sz w:val="24"/>
              </w:rPr>
            </w:pPr>
            <w:r>
              <w:rPr>
                <w:rFonts w:hint="eastAsia" w:ascii="仿宋" w:hAnsi="仿宋" w:eastAsia="仿宋" w:cs="仿宋"/>
                <w:sz w:val="24"/>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4253" w:type="dxa"/>
            <w:vAlign w:val="center"/>
          </w:tcPr>
          <w:p>
            <w:pPr>
              <w:jc w:val="center"/>
              <w:rPr>
                <w:rFonts w:ascii="仿宋" w:hAnsi="仿宋" w:eastAsia="仿宋"/>
                <w:sz w:val="24"/>
              </w:rPr>
            </w:pPr>
            <w:r>
              <w:rPr>
                <w:rFonts w:hint="eastAsia" w:ascii="仿宋" w:hAnsi="仿宋" w:eastAsia="仿宋"/>
                <w:sz w:val="24"/>
              </w:rPr>
              <w:t>生师比</w:t>
            </w:r>
          </w:p>
        </w:tc>
        <w:tc>
          <w:tcPr>
            <w:tcW w:w="2836"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16.4：1</w:t>
            </w:r>
          </w:p>
        </w:tc>
        <w:tc>
          <w:tcPr>
            <w:tcW w:w="2550" w:type="dxa"/>
            <w:vAlign w:val="center"/>
          </w:tcPr>
          <w:p>
            <w:pPr>
              <w:jc w:val="center"/>
              <w:rPr>
                <w:rFonts w:ascii="仿宋" w:hAnsi="仿宋" w:eastAsia="仿宋" w:cs="仿宋"/>
                <w:sz w:val="24"/>
              </w:rPr>
            </w:pPr>
            <w:r>
              <w:rPr>
                <w:rFonts w:hint="eastAsia" w:ascii="仿宋" w:hAnsi="仿宋" w:eastAsia="仿宋" w:cs="仿宋"/>
                <w:sz w:val="24"/>
              </w:rPr>
              <w:t>16.6：1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6" w:hRule="atLeast"/>
        </w:trPr>
        <w:tc>
          <w:tcPr>
            <w:tcW w:w="4253" w:type="dxa"/>
            <w:vAlign w:val="center"/>
          </w:tcPr>
          <w:p>
            <w:pPr>
              <w:jc w:val="center"/>
              <w:rPr>
                <w:rFonts w:ascii="仿宋" w:hAnsi="仿宋" w:eastAsia="仿宋"/>
                <w:sz w:val="24"/>
              </w:rPr>
            </w:pPr>
            <w:r>
              <w:rPr>
                <w:rFonts w:hint="eastAsia" w:ascii="仿宋" w:hAnsi="仿宋" w:eastAsia="仿宋"/>
                <w:sz w:val="24"/>
              </w:rPr>
              <w:t>专业教师“双师型”比例</w:t>
            </w:r>
          </w:p>
        </w:tc>
        <w:tc>
          <w:tcPr>
            <w:tcW w:w="2836"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89.4%</w:t>
            </w:r>
          </w:p>
        </w:tc>
        <w:tc>
          <w:tcPr>
            <w:tcW w:w="2550" w:type="dxa"/>
            <w:vAlign w:val="center"/>
          </w:tcPr>
          <w:p>
            <w:pPr>
              <w:jc w:val="center"/>
              <w:rPr>
                <w:rFonts w:ascii="仿宋" w:hAnsi="仿宋" w:eastAsia="仿宋" w:cs="仿宋"/>
                <w:sz w:val="24"/>
              </w:rPr>
            </w:pPr>
            <w:r>
              <w:rPr>
                <w:rFonts w:hint="eastAsia" w:ascii="仿宋" w:hAnsi="仿宋" w:eastAsia="仿宋" w:cs="仿宋"/>
                <w:sz w:val="24"/>
              </w:rPr>
              <w:t>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4253" w:type="dxa"/>
            <w:vAlign w:val="center"/>
          </w:tcPr>
          <w:p>
            <w:pPr>
              <w:jc w:val="center"/>
              <w:rPr>
                <w:rFonts w:ascii="仿宋" w:hAnsi="仿宋" w:eastAsia="仿宋"/>
                <w:sz w:val="24"/>
              </w:rPr>
            </w:pPr>
            <w:r>
              <w:rPr>
                <w:rFonts w:hint="eastAsia" w:ascii="仿宋" w:hAnsi="仿宋" w:eastAsia="仿宋"/>
                <w:sz w:val="24"/>
              </w:rPr>
              <w:t>兼职教师比例</w:t>
            </w:r>
          </w:p>
        </w:tc>
        <w:tc>
          <w:tcPr>
            <w:tcW w:w="2836"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15.8%</w:t>
            </w:r>
          </w:p>
        </w:tc>
        <w:tc>
          <w:tcPr>
            <w:tcW w:w="2550" w:type="dxa"/>
            <w:vAlign w:val="center"/>
          </w:tcPr>
          <w:p>
            <w:pPr>
              <w:jc w:val="center"/>
              <w:rPr>
                <w:rFonts w:ascii="仿宋" w:hAnsi="仿宋" w:eastAsia="仿宋" w:cs="仿宋"/>
                <w:sz w:val="24"/>
              </w:rPr>
            </w:pPr>
            <w:r>
              <w:rPr>
                <w:rFonts w:hint="eastAsia" w:ascii="仿宋" w:hAnsi="仿宋" w:eastAsia="仿宋" w:cs="仿宋"/>
                <w:sz w:val="24"/>
              </w:rPr>
              <w:t>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4253" w:type="dxa"/>
            <w:vAlign w:val="center"/>
          </w:tcPr>
          <w:p>
            <w:pPr>
              <w:jc w:val="center"/>
              <w:rPr>
                <w:rFonts w:ascii="仿宋" w:hAnsi="仿宋" w:eastAsia="仿宋"/>
                <w:sz w:val="24"/>
              </w:rPr>
            </w:pPr>
            <w:r>
              <w:rPr>
                <w:rFonts w:hint="eastAsia" w:ascii="仿宋" w:hAnsi="仿宋" w:eastAsia="仿宋"/>
                <w:sz w:val="24"/>
              </w:rPr>
              <w:t>专任教师本科以上学历比例</w:t>
            </w:r>
          </w:p>
        </w:tc>
        <w:tc>
          <w:tcPr>
            <w:tcW w:w="2836"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100%</w:t>
            </w:r>
          </w:p>
        </w:tc>
        <w:tc>
          <w:tcPr>
            <w:tcW w:w="2550" w:type="dxa"/>
            <w:vAlign w:val="center"/>
          </w:tcPr>
          <w:p>
            <w:pPr>
              <w:jc w:val="center"/>
              <w:rPr>
                <w:rFonts w:ascii="仿宋" w:hAnsi="仿宋" w:eastAsia="仿宋" w:cs="仿宋"/>
                <w:sz w:val="24"/>
              </w:rPr>
            </w:pPr>
            <w:r>
              <w:rPr>
                <w:rFonts w:hint="eastAsia" w:ascii="仿宋" w:hAnsi="仿宋" w:eastAsia="仿宋" w:cs="仿宋"/>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6" w:hRule="atLeast"/>
        </w:trPr>
        <w:tc>
          <w:tcPr>
            <w:tcW w:w="4253" w:type="dxa"/>
            <w:vAlign w:val="center"/>
          </w:tcPr>
          <w:p>
            <w:pPr>
              <w:jc w:val="center"/>
              <w:rPr>
                <w:rFonts w:ascii="仿宋" w:hAnsi="仿宋" w:eastAsia="仿宋"/>
                <w:sz w:val="24"/>
              </w:rPr>
            </w:pPr>
            <w:r>
              <w:rPr>
                <w:rFonts w:hint="eastAsia" w:ascii="仿宋" w:hAnsi="仿宋" w:eastAsia="仿宋"/>
                <w:sz w:val="24"/>
              </w:rPr>
              <w:t>专任教师硕士以上学历比例</w:t>
            </w:r>
          </w:p>
        </w:tc>
        <w:tc>
          <w:tcPr>
            <w:tcW w:w="2836"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15.6%</w:t>
            </w:r>
          </w:p>
        </w:tc>
        <w:tc>
          <w:tcPr>
            <w:tcW w:w="2550" w:type="dxa"/>
            <w:vAlign w:val="center"/>
          </w:tcPr>
          <w:p>
            <w:pPr>
              <w:jc w:val="center"/>
              <w:rPr>
                <w:rFonts w:ascii="仿宋" w:hAnsi="仿宋" w:eastAsia="仿宋" w:cs="仿宋"/>
                <w:sz w:val="24"/>
              </w:rPr>
            </w:pPr>
            <w:r>
              <w:rPr>
                <w:rFonts w:hint="eastAsia" w:ascii="仿宋" w:hAnsi="仿宋" w:eastAsia="仿宋" w:cs="仿宋"/>
                <w:sz w:val="24"/>
              </w:rPr>
              <w:t>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6" w:hRule="atLeast"/>
        </w:trPr>
        <w:tc>
          <w:tcPr>
            <w:tcW w:w="4253" w:type="dxa"/>
            <w:vAlign w:val="center"/>
          </w:tcPr>
          <w:p>
            <w:pPr>
              <w:jc w:val="center"/>
              <w:rPr>
                <w:rFonts w:ascii="仿宋" w:hAnsi="仿宋" w:eastAsia="仿宋"/>
                <w:sz w:val="24"/>
              </w:rPr>
            </w:pPr>
            <w:r>
              <w:rPr>
                <w:rFonts w:hint="eastAsia" w:ascii="仿宋" w:hAnsi="仿宋" w:eastAsia="仿宋"/>
                <w:sz w:val="24"/>
              </w:rPr>
              <w:t>专任教师高级职称比例</w:t>
            </w:r>
          </w:p>
        </w:tc>
        <w:tc>
          <w:tcPr>
            <w:tcW w:w="2836" w:type="dxa"/>
            <w:tcBorders>
              <w:lef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31.7%</w:t>
            </w:r>
          </w:p>
        </w:tc>
        <w:tc>
          <w:tcPr>
            <w:tcW w:w="2550" w:type="dxa"/>
            <w:vAlign w:val="center"/>
          </w:tcPr>
          <w:p>
            <w:pPr>
              <w:jc w:val="center"/>
              <w:rPr>
                <w:rFonts w:ascii="仿宋" w:hAnsi="仿宋" w:eastAsia="仿宋" w:cs="仿宋"/>
                <w:sz w:val="24"/>
              </w:rPr>
            </w:pPr>
            <w:r>
              <w:rPr>
                <w:rFonts w:hint="eastAsia" w:ascii="仿宋" w:hAnsi="仿宋" w:eastAsia="仿宋" w:cs="仿宋"/>
                <w:sz w:val="24"/>
              </w:rPr>
              <w:t>34.6%</w:t>
            </w:r>
          </w:p>
        </w:tc>
      </w:tr>
    </w:tbl>
    <w:p/>
    <w:p>
      <w:pPr>
        <w:pStyle w:val="3"/>
        <w:keepNext w:val="0"/>
        <w:keepLines w:val="0"/>
        <w:adjustRightInd w:val="0"/>
        <w:spacing w:line="360" w:lineRule="auto"/>
        <w:ind w:firstLine="280" w:firstLineChars="100"/>
        <w:rPr>
          <w:b w:val="0"/>
          <w:sz w:val="28"/>
          <w:szCs w:val="28"/>
        </w:rPr>
      </w:pPr>
      <w:r>
        <w:rPr>
          <w:rFonts w:hint="eastAsia"/>
          <w:b w:val="0"/>
          <w:sz w:val="28"/>
          <w:szCs w:val="28"/>
        </w:rPr>
        <w:t>1.4设施设备</w:t>
      </w:r>
      <w:bookmarkEnd w:id="7"/>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学校护理专业建有中央财政支持的国家级护理实训基地1个，总面积2845平方米，设有标准化模拟病房、示教室、抢救室、手术室、ICU病房、无菌操作室、治疗室、操作训练室共29个；药剂专业为省级实训基地，面积1660平方米，建有仿真药房、电子营销实训室、中医药标本馆、分析天平室、中药炮制室等专业化实训室17</w:t>
      </w:r>
      <w:r>
        <w:rPr>
          <w:rFonts w:asciiTheme="minorEastAsia" w:hAnsiTheme="minorEastAsia" w:eastAsiaTheme="minorEastAsia"/>
          <w:sz w:val="24"/>
        </w:rPr>
        <w:t>个；</w:t>
      </w:r>
      <w:r>
        <w:rPr>
          <w:rFonts w:hint="eastAsia" w:asciiTheme="minorEastAsia" w:hAnsiTheme="minorEastAsia" w:eastAsiaTheme="minorEastAsia"/>
          <w:sz w:val="24"/>
        </w:rPr>
        <w:t>医学检验、医学影像技术等专业和医学基础等建有生命科学馆、解剖理实一体实训室、仿真医学检验中心实训室、CT操作室、电子显微镜室等专业实训室20个，能较好满足各专业技能实训教学的需求，同时也为区域内行业和社会培训服务提供了良好的专业实训场所和设施设备。</w:t>
      </w:r>
    </w:p>
    <w:p>
      <w:pPr>
        <w:spacing w:line="360" w:lineRule="auto"/>
        <w:ind w:firstLine="480" w:firstLineChars="200"/>
        <w:rPr>
          <w:rFonts w:asciiTheme="minorEastAsia" w:hAnsiTheme="minorEastAsia" w:eastAsiaTheme="minorEastAsia"/>
          <w:sz w:val="24"/>
        </w:rPr>
      </w:pPr>
      <w:r>
        <w:rPr>
          <w:rFonts w:hint="eastAsia" w:ascii="宋体" w:hAnsi="宋体"/>
          <w:sz w:val="24"/>
        </w:rPr>
        <w:t>学校建有</w:t>
      </w:r>
      <w:r>
        <w:rPr>
          <w:rFonts w:ascii="宋体" w:hAnsi="宋体"/>
          <w:sz w:val="24"/>
        </w:rPr>
        <w:t>1300</w:t>
      </w:r>
      <w:r>
        <w:rPr>
          <w:rFonts w:hint="eastAsia" w:ascii="宋体" w:hAnsi="宋体"/>
          <w:sz w:val="24"/>
        </w:rPr>
        <w:t>余平米的图书馆，并</w:t>
      </w:r>
      <w:r>
        <w:rPr>
          <w:rFonts w:hint="eastAsia" w:asciiTheme="minorEastAsia" w:hAnsiTheme="minorEastAsia" w:eastAsiaTheme="minorEastAsia"/>
          <w:sz w:val="24"/>
        </w:rPr>
        <w:t>被评为</w:t>
      </w:r>
      <w:r>
        <w:rPr>
          <w:rFonts w:asciiTheme="minorEastAsia" w:hAnsiTheme="minorEastAsia" w:eastAsiaTheme="minorEastAsia"/>
          <w:sz w:val="24"/>
        </w:rPr>
        <w:t>海宁市中小学示范图书馆</w:t>
      </w:r>
      <w:r>
        <w:rPr>
          <w:rFonts w:hint="eastAsia" w:asciiTheme="minorEastAsia" w:hAnsiTheme="minorEastAsia" w:eastAsiaTheme="minorEastAsia"/>
          <w:sz w:val="24"/>
        </w:rPr>
        <w:t>(室)。</w:t>
      </w:r>
      <w:r>
        <w:rPr>
          <w:rFonts w:hint="eastAsia" w:ascii="宋体" w:hAnsi="宋体"/>
          <w:sz w:val="24"/>
        </w:rPr>
        <w:t>分设图书借阅室、阅览室、书库、教师书吧等，图书馆纸质图书</w:t>
      </w:r>
      <w:r>
        <w:rPr>
          <w:rFonts w:hint="eastAsia" w:ascii="仿宋" w:hAnsi="仿宋" w:eastAsia="仿宋"/>
          <w:sz w:val="24"/>
        </w:rPr>
        <w:t>136576</w:t>
      </w:r>
      <w:r>
        <w:rPr>
          <w:rFonts w:hint="eastAsia" w:ascii="宋体" w:hAnsi="宋体"/>
          <w:sz w:val="24"/>
        </w:rPr>
        <w:t>册，图书生均46册，期刊</w:t>
      </w:r>
      <w:r>
        <w:rPr>
          <w:rFonts w:ascii="宋体" w:hAnsi="宋体"/>
          <w:sz w:val="24"/>
        </w:rPr>
        <w:t>156</w:t>
      </w:r>
      <w:r>
        <w:rPr>
          <w:rFonts w:hint="eastAsia" w:ascii="宋体" w:hAnsi="宋体"/>
          <w:sz w:val="24"/>
        </w:rPr>
        <w:t>种，报纸</w:t>
      </w:r>
      <w:r>
        <w:rPr>
          <w:rFonts w:ascii="宋体" w:hAnsi="宋体"/>
          <w:sz w:val="24"/>
        </w:rPr>
        <w:t>30</w:t>
      </w:r>
      <w:r>
        <w:rPr>
          <w:rFonts w:hint="eastAsia" w:ascii="宋体" w:hAnsi="宋体"/>
          <w:sz w:val="24"/>
        </w:rPr>
        <w:t>种，另建有学校超星网络图书馆，拥有电子图书</w:t>
      </w:r>
      <w:r>
        <w:rPr>
          <w:rFonts w:ascii="宋体" w:hAnsi="宋体"/>
          <w:sz w:val="24"/>
        </w:rPr>
        <w:t>50</w:t>
      </w:r>
      <w:r>
        <w:rPr>
          <w:rFonts w:hint="eastAsia" w:ascii="宋体" w:hAnsi="宋体"/>
          <w:sz w:val="24"/>
        </w:rPr>
        <w:t>万册，纸质和电子图书逐年有计划更新，2019年生均借阅率达5</w:t>
      </w:r>
      <w:r>
        <w:rPr>
          <w:rFonts w:ascii="宋体" w:hAnsi="宋体"/>
          <w:sz w:val="24"/>
        </w:rPr>
        <w:t>.</w:t>
      </w:r>
      <w:r>
        <w:rPr>
          <w:rFonts w:hint="eastAsia" w:ascii="宋体" w:hAnsi="宋体"/>
          <w:sz w:val="24"/>
        </w:rPr>
        <w:t>8册。</w:t>
      </w:r>
    </w:p>
    <w:p>
      <w:pPr>
        <w:autoSpaceDE w:val="0"/>
        <w:autoSpaceDN w:val="0"/>
        <w:adjustRightInd w:val="0"/>
        <w:spacing w:line="360" w:lineRule="auto"/>
        <w:ind w:firstLine="241" w:firstLineChars="100"/>
        <w:jc w:val="left"/>
        <w:rPr>
          <w:rFonts w:ascii="宋体"/>
          <w:b/>
          <w:sz w:val="24"/>
        </w:rPr>
      </w:pPr>
      <w:r>
        <w:rPr>
          <w:rFonts w:hint="eastAsia" w:ascii="宋体" w:hAnsi="宋体"/>
          <w:b/>
          <w:sz w:val="24"/>
        </w:rPr>
        <w:t>表</w:t>
      </w:r>
      <w:r>
        <w:rPr>
          <w:rFonts w:ascii="宋体" w:hAnsi="宋体"/>
          <w:b/>
          <w:sz w:val="24"/>
        </w:rPr>
        <w:t>4</w:t>
      </w:r>
      <w:r>
        <w:rPr>
          <w:rFonts w:hint="eastAsia" w:ascii="宋体" w:hAnsi="宋体"/>
          <w:b/>
          <w:sz w:val="24"/>
        </w:rPr>
        <w:t>：</w:t>
      </w:r>
      <w:r>
        <w:rPr>
          <w:rFonts w:hint="eastAsia" w:cs="宋体" w:asciiTheme="minorEastAsia" w:hAnsiTheme="minorEastAsia" w:eastAsiaTheme="minorEastAsia"/>
          <w:b/>
          <w:kern w:val="0"/>
          <w:sz w:val="24"/>
        </w:rPr>
        <w:t>2018年度、2019年度</w:t>
      </w:r>
      <w:r>
        <w:rPr>
          <w:rFonts w:hint="eastAsia" w:ascii="宋体" w:hAnsi="宋体"/>
          <w:b/>
          <w:sz w:val="24"/>
        </w:rPr>
        <w:t>学校主要设施设备指标比对表</w:t>
      </w:r>
    </w:p>
    <w:tbl>
      <w:tblPr>
        <w:tblStyle w:val="14"/>
        <w:tblW w:w="70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4"/>
        <w:gridCol w:w="708"/>
        <w:gridCol w:w="184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2694" w:type="dxa"/>
            <w:vAlign w:val="center"/>
          </w:tcPr>
          <w:p>
            <w:pPr>
              <w:jc w:val="center"/>
              <w:rPr>
                <w:rFonts w:ascii="仿宋" w:hAnsi="仿宋" w:eastAsia="仿宋"/>
                <w:sz w:val="24"/>
              </w:rPr>
            </w:pPr>
            <w:r>
              <w:rPr>
                <w:rFonts w:hint="eastAsia" w:ascii="仿宋" w:hAnsi="仿宋" w:eastAsia="仿宋"/>
                <w:sz w:val="24"/>
              </w:rPr>
              <w:t>指</w:t>
            </w:r>
            <w:r>
              <w:rPr>
                <w:rFonts w:ascii="仿宋" w:hAnsi="仿宋" w:eastAsia="仿宋"/>
                <w:sz w:val="24"/>
              </w:rPr>
              <w:t xml:space="preserve">   </w:t>
            </w:r>
            <w:r>
              <w:rPr>
                <w:rFonts w:hint="eastAsia" w:ascii="仿宋" w:hAnsi="仿宋" w:eastAsia="仿宋"/>
                <w:sz w:val="24"/>
              </w:rPr>
              <w:t>标</w:t>
            </w:r>
          </w:p>
        </w:tc>
        <w:tc>
          <w:tcPr>
            <w:tcW w:w="708" w:type="dxa"/>
            <w:tcBorders>
              <w:right w:val="single" w:color="auto" w:sz="4" w:space="0"/>
            </w:tcBorders>
            <w:vAlign w:val="center"/>
          </w:tcPr>
          <w:p>
            <w:pPr>
              <w:jc w:val="center"/>
              <w:rPr>
                <w:rFonts w:ascii="仿宋" w:hAnsi="仿宋" w:eastAsia="仿宋"/>
                <w:sz w:val="24"/>
              </w:rPr>
            </w:pPr>
            <w:r>
              <w:rPr>
                <w:rFonts w:hint="eastAsia" w:ascii="仿宋" w:hAnsi="仿宋" w:eastAsia="仿宋"/>
                <w:sz w:val="24"/>
              </w:rPr>
              <w:t>单位</w:t>
            </w:r>
          </w:p>
        </w:tc>
        <w:tc>
          <w:tcPr>
            <w:tcW w:w="1843" w:type="dxa"/>
          </w:tcPr>
          <w:p>
            <w:pPr>
              <w:spacing w:line="480" w:lineRule="exact"/>
              <w:jc w:val="center"/>
              <w:rPr>
                <w:rFonts w:ascii="仿宋" w:hAnsi="仿宋" w:eastAsia="仿宋"/>
                <w:sz w:val="24"/>
              </w:rPr>
            </w:pPr>
            <w:r>
              <w:rPr>
                <w:rFonts w:hint="eastAsia" w:ascii="仿宋" w:hAnsi="仿宋" w:eastAsia="仿宋"/>
                <w:sz w:val="24"/>
              </w:rPr>
              <w:t>2018年</w:t>
            </w:r>
          </w:p>
        </w:tc>
        <w:tc>
          <w:tcPr>
            <w:tcW w:w="1843" w:type="dxa"/>
          </w:tcPr>
          <w:p>
            <w:pPr>
              <w:spacing w:line="480" w:lineRule="exact"/>
              <w:jc w:val="center"/>
              <w:rPr>
                <w:rFonts w:ascii="仿宋" w:hAnsi="仿宋" w:eastAsia="仿宋"/>
                <w:sz w:val="24"/>
              </w:rPr>
            </w:pPr>
            <w:r>
              <w:rPr>
                <w:rFonts w:hint="eastAsia" w:ascii="仿宋" w:hAnsi="仿宋" w:eastAsia="仿宋"/>
                <w:sz w:val="24"/>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2694" w:type="dxa"/>
            <w:vAlign w:val="center"/>
          </w:tcPr>
          <w:p>
            <w:pPr>
              <w:jc w:val="center"/>
              <w:rPr>
                <w:rFonts w:ascii="仿宋" w:hAnsi="仿宋" w:eastAsia="仿宋"/>
                <w:sz w:val="24"/>
              </w:rPr>
            </w:pPr>
            <w:r>
              <w:rPr>
                <w:rFonts w:hint="eastAsia" w:ascii="仿宋" w:hAnsi="仿宋" w:eastAsia="仿宋"/>
                <w:sz w:val="24"/>
              </w:rPr>
              <w:t>教学仪器设备总值</w:t>
            </w:r>
          </w:p>
        </w:tc>
        <w:tc>
          <w:tcPr>
            <w:tcW w:w="708" w:type="dxa"/>
            <w:tcBorders>
              <w:right w:val="single" w:color="auto" w:sz="4" w:space="0"/>
            </w:tcBorders>
            <w:vAlign w:val="center"/>
          </w:tcPr>
          <w:p>
            <w:pPr>
              <w:jc w:val="center"/>
              <w:rPr>
                <w:rFonts w:ascii="仿宋" w:hAnsi="仿宋" w:eastAsia="仿宋"/>
                <w:sz w:val="24"/>
              </w:rPr>
            </w:pPr>
            <w:r>
              <w:rPr>
                <w:rFonts w:hint="eastAsia" w:ascii="仿宋" w:hAnsi="仿宋" w:eastAsia="仿宋"/>
                <w:sz w:val="24"/>
              </w:rPr>
              <w:t>万元</w:t>
            </w:r>
          </w:p>
        </w:tc>
        <w:tc>
          <w:tcPr>
            <w:tcW w:w="1843" w:type="dxa"/>
          </w:tcPr>
          <w:p>
            <w:pPr>
              <w:spacing w:line="480" w:lineRule="exact"/>
              <w:jc w:val="center"/>
              <w:rPr>
                <w:rFonts w:ascii="仿宋" w:hAnsi="仿宋" w:eastAsia="仿宋"/>
                <w:sz w:val="24"/>
              </w:rPr>
            </w:pPr>
            <w:r>
              <w:rPr>
                <w:rFonts w:ascii="仿宋" w:hAnsi="仿宋" w:eastAsia="仿宋"/>
                <w:sz w:val="24"/>
              </w:rPr>
              <w:t>2389.37</w:t>
            </w:r>
          </w:p>
        </w:tc>
        <w:tc>
          <w:tcPr>
            <w:tcW w:w="1843" w:type="dxa"/>
          </w:tcPr>
          <w:p>
            <w:pPr>
              <w:spacing w:line="480" w:lineRule="exact"/>
              <w:jc w:val="center"/>
              <w:rPr>
                <w:rFonts w:ascii="仿宋" w:hAnsi="仿宋" w:eastAsia="仿宋"/>
                <w:sz w:val="24"/>
              </w:rPr>
            </w:pPr>
            <w:r>
              <w:rPr>
                <w:rFonts w:hint="eastAsia" w:ascii="仿宋" w:hAnsi="仿宋" w:eastAsia="仿宋"/>
                <w:sz w:val="24"/>
              </w:rPr>
              <w:t>2529.61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2694" w:type="dxa"/>
            <w:vAlign w:val="center"/>
          </w:tcPr>
          <w:p>
            <w:pPr>
              <w:jc w:val="center"/>
              <w:rPr>
                <w:rFonts w:ascii="仿宋" w:hAnsi="仿宋" w:eastAsia="仿宋"/>
                <w:sz w:val="24"/>
              </w:rPr>
            </w:pPr>
            <w:r>
              <w:rPr>
                <w:rFonts w:hint="eastAsia" w:ascii="仿宋" w:hAnsi="仿宋" w:eastAsia="仿宋"/>
                <w:sz w:val="24"/>
              </w:rPr>
              <w:t>生均教学仪器设备值</w:t>
            </w:r>
          </w:p>
        </w:tc>
        <w:tc>
          <w:tcPr>
            <w:tcW w:w="708" w:type="dxa"/>
            <w:tcBorders>
              <w:right w:val="single" w:color="auto" w:sz="4" w:space="0"/>
            </w:tcBorders>
            <w:vAlign w:val="center"/>
          </w:tcPr>
          <w:p>
            <w:pPr>
              <w:jc w:val="center"/>
              <w:rPr>
                <w:rFonts w:ascii="仿宋" w:hAnsi="仿宋" w:eastAsia="仿宋"/>
                <w:sz w:val="24"/>
              </w:rPr>
            </w:pPr>
            <w:r>
              <w:rPr>
                <w:rFonts w:hint="eastAsia" w:ascii="仿宋" w:hAnsi="仿宋" w:eastAsia="仿宋"/>
                <w:sz w:val="24"/>
              </w:rPr>
              <w:t>元</w:t>
            </w:r>
          </w:p>
        </w:tc>
        <w:tc>
          <w:tcPr>
            <w:tcW w:w="1843" w:type="dxa"/>
          </w:tcPr>
          <w:p>
            <w:pPr>
              <w:spacing w:line="480" w:lineRule="exact"/>
              <w:jc w:val="center"/>
              <w:rPr>
                <w:rFonts w:ascii="仿宋" w:hAnsi="仿宋" w:eastAsia="仿宋"/>
                <w:sz w:val="24"/>
              </w:rPr>
            </w:pPr>
            <w:r>
              <w:rPr>
                <w:rFonts w:ascii="仿宋" w:hAnsi="仿宋" w:eastAsia="仿宋"/>
                <w:sz w:val="24"/>
              </w:rPr>
              <w:t>8533.46</w:t>
            </w:r>
          </w:p>
        </w:tc>
        <w:tc>
          <w:tcPr>
            <w:tcW w:w="1843" w:type="dxa"/>
          </w:tcPr>
          <w:p>
            <w:pPr>
              <w:spacing w:line="480" w:lineRule="exact"/>
              <w:jc w:val="center"/>
              <w:rPr>
                <w:rFonts w:ascii="仿宋" w:hAnsi="仿宋" w:eastAsia="仿宋"/>
                <w:sz w:val="24"/>
              </w:rPr>
            </w:pPr>
            <w:r>
              <w:rPr>
                <w:rFonts w:hint="eastAsia" w:ascii="仿宋" w:hAnsi="仿宋" w:eastAsia="仿宋"/>
                <w:sz w:val="24"/>
              </w:rPr>
              <w:t>8511.47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2694" w:type="dxa"/>
            <w:vAlign w:val="center"/>
          </w:tcPr>
          <w:p>
            <w:pPr>
              <w:jc w:val="center"/>
              <w:rPr>
                <w:rFonts w:ascii="仿宋" w:hAnsi="仿宋" w:eastAsia="仿宋"/>
                <w:sz w:val="24"/>
              </w:rPr>
            </w:pPr>
            <w:r>
              <w:rPr>
                <w:rFonts w:hint="eastAsia" w:ascii="仿宋" w:hAnsi="仿宋" w:eastAsia="仿宋"/>
                <w:sz w:val="24"/>
              </w:rPr>
              <w:t>专业实训室</w:t>
            </w:r>
          </w:p>
        </w:tc>
        <w:tc>
          <w:tcPr>
            <w:tcW w:w="708" w:type="dxa"/>
            <w:tcBorders>
              <w:right w:val="single" w:color="auto" w:sz="4" w:space="0"/>
            </w:tcBorders>
            <w:vAlign w:val="center"/>
          </w:tcPr>
          <w:p>
            <w:pPr>
              <w:jc w:val="center"/>
              <w:rPr>
                <w:rFonts w:ascii="仿宋" w:hAnsi="仿宋" w:eastAsia="仿宋"/>
                <w:sz w:val="24"/>
              </w:rPr>
            </w:pPr>
            <w:r>
              <w:rPr>
                <w:rFonts w:hint="eastAsia" w:ascii="仿宋" w:hAnsi="仿宋" w:eastAsia="仿宋"/>
                <w:sz w:val="24"/>
              </w:rPr>
              <w:t>个</w:t>
            </w:r>
          </w:p>
        </w:tc>
        <w:tc>
          <w:tcPr>
            <w:tcW w:w="1843" w:type="dxa"/>
          </w:tcPr>
          <w:p>
            <w:pPr>
              <w:spacing w:line="480" w:lineRule="exact"/>
              <w:jc w:val="center"/>
              <w:rPr>
                <w:rFonts w:ascii="仿宋" w:hAnsi="仿宋" w:eastAsia="仿宋"/>
                <w:sz w:val="24"/>
              </w:rPr>
            </w:pPr>
            <w:r>
              <w:rPr>
                <w:rFonts w:ascii="仿宋" w:hAnsi="仿宋" w:eastAsia="仿宋"/>
                <w:sz w:val="24"/>
              </w:rPr>
              <w:t>6</w:t>
            </w:r>
            <w:r>
              <w:rPr>
                <w:rFonts w:hint="eastAsia" w:ascii="仿宋" w:hAnsi="仿宋" w:eastAsia="仿宋"/>
                <w:sz w:val="24"/>
              </w:rPr>
              <w:t>5</w:t>
            </w:r>
          </w:p>
        </w:tc>
        <w:tc>
          <w:tcPr>
            <w:tcW w:w="1843" w:type="dxa"/>
          </w:tcPr>
          <w:p>
            <w:pPr>
              <w:spacing w:line="480" w:lineRule="exact"/>
              <w:jc w:val="center"/>
              <w:rPr>
                <w:rFonts w:ascii="仿宋" w:hAnsi="仿宋" w:eastAsia="仿宋"/>
                <w:sz w:val="24"/>
              </w:rPr>
            </w:pPr>
            <w:r>
              <w:rPr>
                <w:rFonts w:hint="eastAsia" w:ascii="仿宋" w:hAnsi="仿宋" w:eastAsia="仿宋"/>
                <w:sz w:val="24"/>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2694" w:type="dxa"/>
            <w:vAlign w:val="center"/>
          </w:tcPr>
          <w:p>
            <w:pPr>
              <w:jc w:val="center"/>
              <w:rPr>
                <w:rFonts w:ascii="仿宋" w:hAnsi="仿宋" w:eastAsia="仿宋"/>
                <w:sz w:val="24"/>
              </w:rPr>
            </w:pPr>
            <w:r>
              <w:rPr>
                <w:rFonts w:hint="eastAsia" w:ascii="仿宋" w:hAnsi="仿宋" w:eastAsia="仿宋"/>
                <w:sz w:val="24"/>
              </w:rPr>
              <w:t>纸质图书</w:t>
            </w:r>
          </w:p>
        </w:tc>
        <w:tc>
          <w:tcPr>
            <w:tcW w:w="708" w:type="dxa"/>
            <w:tcBorders>
              <w:right w:val="single" w:color="auto" w:sz="4" w:space="0"/>
            </w:tcBorders>
            <w:vAlign w:val="center"/>
          </w:tcPr>
          <w:p>
            <w:pPr>
              <w:jc w:val="center"/>
              <w:rPr>
                <w:rFonts w:ascii="仿宋" w:hAnsi="仿宋" w:eastAsia="仿宋"/>
                <w:sz w:val="24"/>
              </w:rPr>
            </w:pPr>
            <w:r>
              <w:rPr>
                <w:rFonts w:hint="eastAsia" w:ascii="仿宋" w:hAnsi="仿宋" w:eastAsia="仿宋"/>
                <w:sz w:val="24"/>
              </w:rPr>
              <w:t>册</w:t>
            </w:r>
          </w:p>
        </w:tc>
        <w:tc>
          <w:tcPr>
            <w:tcW w:w="1843" w:type="dxa"/>
          </w:tcPr>
          <w:p>
            <w:pPr>
              <w:spacing w:line="480" w:lineRule="exact"/>
              <w:jc w:val="center"/>
              <w:rPr>
                <w:rFonts w:ascii="仿宋" w:hAnsi="仿宋" w:eastAsia="仿宋"/>
                <w:sz w:val="24"/>
              </w:rPr>
            </w:pPr>
            <w:r>
              <w:rPr>
                <w:rFonts w:hint="eastAsia" w:ascii="仿宋" w:hAnsi="仿宋" w:eastAsia="仿宋"/>
                <w:sz w:val="24"/>
              </w:rPr>
              <w:t>136536</w:t>
            </w:r>
          </w:p>
        </w:tc>
        <w:tc>
          <w:tcPr>
            <w:tcW w:w="1843" w:type="dxa"/>
          </w:tcPr>
          <w:p>
            <w:pPr>
              <w:spacing w:line="480" w:lineRule="exact"/>
              <w:jc w:val="center"/>
              <w:rPr>
                <w:rFonts w:ascii="仿宋" w:hAnsi="仿宋" w:eastAsia="仿宋"/>
                <w:sz w:val="24"/>
              </w:rPr>
            </w:pPr>
            <w:r>
              <w:rPr>
                <w:rFonts w:hint="eastAsia" w:ascii="仿宋" w:hAnsi="仿宋" w:eastAsia="仿宋"/>
                <w:sz w:val="24"/>
              </w:rPr>
              <w:t>136576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2694" w:type="dxa"/>
            <w:vAlign w:val="center"/>
          </w:tcPr>
          <w:p>
            <w:pPr>
              <w:jc w:val="center"/>
              <w:rPr>
                <w:rFonts w:ascii="仿宋" w:hAnsi="仿宋" w:eastAsia="仿宋"/>
                <w:sz w:val="24"/>
              </w:rPr>
            </w:pPr>
            <w:r>
              <w:rPr>
                <w:rFonts w:hint="eastAsia" w:ascii="仿宋" w:hAnsi="仿宋" w:eastAsia="仿宋"/>
                <w:sz w:val="24"/>
              </w:rPr>
              <w:t>生均纸质图书</w:t>
            </w:r>
          </w:p>
        </w:tc>
        <w:tc>
          <w:tcPr>
            <w:tcW w:w="708" w:type="dxa"/>
            <w:tcBorders>
              <w:right w:val="single" w:color="auto" w:sz="4" w:space="0"/>
            </w:tcBorders>
            <w:vAlign w:val="center"/>
          </w:tcPr>
          <w:p>
            <w:pPr>
              <w:jc w:val="center"/>
              <w:rPr>
                <w:rFonts w:ascii="仿宋" w:hAnsi="仿宋" w:eastAsia="仿宋"/>
                <w:sz w:val="24"/>
              </w:rPr>
            </w:pPr>
            <w:r>
              <w:rPr>
                <w:rFonts w:hint="eastAsia" w:ascii="仿宋" w:hAnsi="仿宋" w:eastAsia="仿宋"/>
                <w:sz w:val="24"/>
              </w:rPr>
              <w:t>册</w:t>
            </w:r>
          </w:p>
        </w:tc>
        <w:tc>
          <w:tcPr>
            <w:tcW w:w="1843" w:type="dxa"/>
          </w:tcPr>
          <w:p>
            <w:pPr>
              <w:spacing w:line="480" w:lineRule="exact"/>
              <w:jc w:val="center"/>
              <w:rPr>
                <w:rFonts w:ascii="仿宋" w:hAnsi="仿宋" w:eastAsia="仿宋"/>
                <w:sz w:val="24"/>
              </w:rPr>
            </w:pPr>
            <w:r>
              <w:rPr>
                <w:rFonts w:hint="eastAsia" w:ascii="仿宋" w:hAnsi="仿宋" w:eastAsia="仿宋"/>
                <w:sz w:val="24"/>
              </w:rPr>
              <w:t>47.2</w:t>
            </w:r>
          </w:p>
        </w:tc>
        <w:tc>
          <w:tcPr>
            <w:tcW w:w="1843" w:type="dxa"/>
          </w:tcPr>
          <w:p>
            <w:pPr>
              <w:spacing w:line="480" w:lineRule="exact"/>
              <w:jc w:val="center"/>
              <w:rPr>
                <w:rFonts w:ascii="仿宋" w:hAnsi="仿宋" w:eastAsia="仿宋"/>
                <w:sz w:val="24"/>
              </w:rPr>
            </w:pPr>
            <w:r>
              <w:rPr>
                <w:rFonts w:hint="eastAsia" w:ascii="仿宋" w:hAnsi="仿宋" w:eastAsia="仿宋"/>
                <w:sz w:val="24"/>
              </w:rPr>
              <w:t>46</w:t>
            </w:r>
          </w:p>
        </w:tc>
      </w:tr>
      <w:bookmarkEnd w:id="4"/>
    </w:tbl>
    <w:p>
      <w:pPr>
        <w:pStyle w:val="3"/>
        <w:keepNext w:val="0"/>
        <w:keepLines w:val="0"/>
        <w:adjustRightInd w:val="0"/>
        <w:spacing w:line="360" w:lineRule="auto"/>
        <w:ind w:firstLine="602" w:firstLineChars="200"/>
        <w:rPr>
          <w:rFonts w:ascii="黑体" w:hAnsi="黑体" w:cs="黑体"/>
          <w:sz w:val="30"/>
          <w:szCs w:val="30"/>
        </w:rPr>
      </w:pPr>
      <w:bookmarkStart w:id="8" w:name="_Toc471905906"/>
      <w:bookmarkStart w:id="9" w:name="_Toc2700"/>
      <w:r>
        <w:rPr>
          <w:rFonts w:hint="eastAsia" w:ascii="黑体" w:hAnsi="黑体" w:cs="黑体"/>
          <w:sz w:val="30"/>
          <w:szCs w:val="30"/>
        </w:rPr>
        <w:t>2.学生发展</w:t>
      </w:r>
      <w:bookmarkEnd w:id="8"/>
      <w:r>
        <w:rPr>
          <w:rFonts w:ascii="黑体" w:hAnsi="黑体" w:cs="黑体"/>
          <w:sz w:val="30"/>
          <w:szCs w:val="30"/>
        </w:rPr>
        <w:tab/>
      </w:r>
      <w:bookmarkStart w:id="10" w:name="_Toc471905907"/>
      <w:bookmarkStart w:id="11" w:name="_Toc10884"/>
    </w:p>
    <w:p>
      <w:pPr>
        <w:pStyle w:val="3"/>
        <w:keepNext w:val="0"/>
        <w:keepLines w:val="0"/>
        <w:adjustRightInd w:val="0"/>
        <w:spacing w:line="360" w:lineRule="auto"/>
        <w:ind w:firstLine="560" w:firstLineChars="200"/>
        <w:rPr>
          <w:rFonts w:ascii="黑体" w:hAnsi="黑体" w:cs="黑体"/>
          <w:sz w:val="30"/>
          <w:szCs w:val="30"/>
        </w:rPr>
      </w:pPr>
      <w:r>
        <w:rPr>
          <w:rFonts w:hint="eastAsia"/>
          <w:b w:val="0"/>
          <w:sz w:val="28"/>
          <w:szCs w:val="28"/>
        </w:rPr>
        <w:t>2.1学生素质</w:t>
      </w:r>
      <w:bookmarkEnd w:id="10"/>
      <w:bookmarkEnd w:id="11"/>
    </w:p>
    <w:bookmarkEnd w:id="9"/>
    <w:p>
      <w:pPr>
        <w:widowControl/>
        <w:adjustRightInd w:val="0"/>
        <w:snapToGrid w:val="0"/>
        <w:spacing w:line="360" w:lineRule="auto"/>
        <w:ind w:firstLine="480" w:firstLineChars="200"/>
        <w:jc w:val="left"/>
        <w:rPr>
          <w:rFonts w:ascii="宋体" w:cs="宋体"/>
          <w:kern w:val="0"/>
          <w:sz w:val="24"/>
        </w:rPr>
      </w:pPr>
      <w:bookmarkStart w:id="12" w:name="_Toc471905908"/>
      <w:bookmarkStart w:id="13" w:name="_Toc17161"/>
      <w:r>
        <w:rPr>
          <w:rFonts w:hint="eastAsia" w:ascii="宋体" w:hAnsi="宋体" w:cs="宋体"/>
          <w:kern w:val="0"/>
          <w:sz w:val="24"/>
        </w:rPr>
        <w:t>学校坚持 “育人育才并举，育才先育人”的教育思想，以“奉献、重托、品牌”三大基因要素的“天使文化”为引领，实施“塑天使形”、“育天使心”、“铸天使魂”为核心的 “天使育人工程”。坚持“三个对接”卫生职教理念指导教育教学工作，以“三性”（实用性、适用性、趣味性）原则推进课程改革，培育规范自律、文明守礼、勇担重托、乐于奉献的“海卫小天使”，持续为省内医药卫生行业及健康服务产业输送优质专业技术人才。</w:t>
      </w:r>
    </w:p>
    <w:p>
      <w:pPr>
        <w:widowControl/>
        <w:adjustRightInd w:val="0"/>
        <w:snapToGrid w:val="0"/>
        <w:spacing w:line="360" w:lineRule="auto"/>
        <w:ind w:firstLine="480" w:firstLineChars="200"/>
        <w:jc w:val="left"/>
        <w:rPr>
          <w:rFonts w:ascii="宋体" w:cs="宋体"/>
          <w:kern w:val="0"/>
          <w:sz w:val="24"/>
        </w:rPr>
      </w:pPr>
      <w:r>
        <w:rPr>
          <w:rFonts w:ascii="宋体" w:hAnsi="宋体" w:cs="宋体"/>
          <w:kern w:val="0"/>
          <w:sz w:val="24"/>
        </w:rPr>
        <w:t>201</w:t>
      </w:r>
      <w:r>
        <w:rPr>
          <w:rFonts w:hint="eastAsia" w:ascii="宋体" w:hAnsi="宋体" w:cs="宋体"/>
          <w:kern w:val="0"/>
          <w:sz w:val="24"/>
        </w:rPr>
        <w:t>9年，我校王萧爽、杨</w:t>
      </w:r>
      <w:r>
        <w:rPr>
          <w:rFonts w:ascii="宋体" w:hAnsi="宋体" w:cs="宋体"/>
          <w:kern w:val="0"/>
          <w:sz w:val="24"/>
        </w:rPr>
        <w:t>晶</w:t>
      </w:r>
      <w:r>
        <w:rPr>
          <w:rFonts w:hint="eastAsia" w:ascii="宋体" w:hAnsi="宋体" w:cs="宋体"/>
          <w:kern w:val="0"/>
          <w:sz w:val="24"/>
        </w:rPr>
        <w:t>晶两位同学，获得了省护理技能大赛</w:t>
      </w:r>
      <w:r>
        <w:rPr>
          <w:rFonts w:ascii="宋体" w:hAnsi="宋体" w:cs="宋体"/>
          <w:kern w:val="0"/>
          <w:sz w:val="24"/>
        </w:rPr>
        <w:t>4</w:t>
      </w:r>
      <w:r>
        <w:rPr>
          <w:rFonts w:hint="eastAsia" w:ascii="宋体" w:hAnsi="宋体" w:cs="宋体"/>
          <w:kern w:val="0"/>
          <w:sz w:val="24"/>
        </w:rPr>
        <w:t>金中的</w:t>
      </w:r>
      <w:r>
        <w:rPr>
          <w:rFonts w:ascii="宋体" w:hAnsi="宋体" w:cs="宋体"/>
          <w:kern w:val="0"/>
          <w:sz w:val="24"/>
        </w:rPr>
        <w:t>2</w:t>
      </w:r>
      <w:r>
        <w:rPr>
          <w:rFonts w:hint="eastAsia" w:ascii="宋体" w:hAnsi="宋体" w:cs="宋体"/>
          <w:kern w:val="0"/>
          <w:sz w:val="24"/>
        </w:rPr>
        <w:t>枚金牌，郭骏豪同学获得银牌，徐</w:t>
      </w:r>
      <w:r>
        <w:rPr>
          <w:rFonts w:ascii="宋体" w:hAnsi="宋体" w:cs="宋体"/>
          <w:kern w:val="0"/>
          <w:sz w:val="24"/>
        </w:rPr>
        <w:t>剑浩同学获铜牌。</w:t>
      </w:r>
      <w:r>
        <w:rPr>
          <w:rFonts w:hint="eastAsia" w:ascii="宋体" w:hAnsi="宋体" w:cs="宋体"/>
          <w:kern w:val="0"/>
          <w:sz w:val="24"/>
        </w:rPr>
        <w:t>其中王萧爽、杨晶晶同学还获得了</w:t>
      </w:r>
      <w:r>
        <w:rPr>
          <w:rFonts w:ascii="宋体" w:hAnsi="宋体" w:cs="宋体"/>
          <w:kern w:val="0"/>
          <w:sz w:val="24"/>
        </w:rPr>
        <w:t>2019</w:t>
      </w:r>
      <w:r>
        <w:rPr>
          <w:rFonts w:hint="eastAsia" w:ascii="宋体" w:hAnsi="宋体" w:cs="宋体"/>
          <w:kern w:val="0"/>
          <w:sz w:val="24"/>
        </w:rPr>
        <w:t>年全国中等职业院校技能大赛银牌。在</w:t>
      </w:r>
      <w:r>
        <w:rPr>
          <w:rFonts w:ascii="宋体" w:hAnsi="宋体" w:cs="宋体"/>
          <w:kern w:val="0"/>
          <w:sz w:val="24"/>
        </w:rPr>
        <w:t>校各项荣誉评</w:t>
      </w:r>
      <w:r>
        <w:rPr>
          <w:rFonts w:hint="eastAsia" w:ascii="宋体" w:hAnsi="宋体" w:cs="宋体"/>
          <w:kern w:val="0"/>
          <w:sz w:val="24"/>
        </w:rPr>
        <w:t>比</w:t>
      </w:r>
      <w:r>
        <w:rPr>
          <w:rFonts w:ascii="宋体" w:hAnsi="宋体" w:cs="宋体"/>
          <w:kern w:val="0"/>
          <w:sz w:val="24"/>
        </w:rPr>
        <w:t>中，通过班主任推荐，学校考核，156</w:t>
      </w:r>
      <w:r>
        <w:rPr>
          <w:rFonts w:hint="eastAsia" w:ascii="宋体" w:hAnsi="宋体" w:cs="宋体"/>
          <w:kern w:val="0"/>
          <w:sz w:val="24"/>
        </w:rPr>
        <w:t>人次被评为学校“海卫小天使”、“技能之星”等荣誉，390人次获得校三好学生、112人次</w:t>
      </w:r>
      <w:r>
        <w:rPr>
          <w:rFonts w:ascii="宋体" w:hAnsi="宋体" w:cs="宋体"/>
          <w:kern w:val="0"/>
          <w:sz w:val="24"/>
        </w:rPr>
        <w:t>获</w:t>
      </w:r>
      <w:r>
        <w:rPr>
          <w:rFonts w:hint="eastAsia" w:ascii="宋体" w:hAnsi="宋体" w:cs="宋体"/>
          <w:kern w:val="0"/>
          <w:sz w:val="24"/>
        </w:rPr>
        <w:t>优秀学生干部等荣誉。</w:t>
      </w:r>
    </w:p>
    <w:p>
      <w:pPr>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学校德育工作在领导小组的统领下，学工处落实学生思想、行为、学习生活等综合品德考核。</w:t>
      </w:r>
      <w:r>
        <w:rPr>
          <w:rFonts w:ascii="宋体" w:hAnsi="宋体" w:cs="宋体"/>
          <w:kern w:val="0"/>
          <w:sz w:val="24"/>
        </w:rPr>
        <w:t>2019</w:t>
      </w:r>
      <w:r>
        <w:rPr>
          <w:rFonts w:hint="eastAsia" w:ascii="宋体" w:hAnsi="宋体" w:cs="宋体"/>
          <w:kern w:val="0"/>
          <w:sz w:val="24"/>
        </w:rPr>
        <w:t>年，在校生中因违纪受到学校处分的</w:t>
      </w:r>
      <w:r>
        <w:rPr>
          <w:rFonts w:ascii="宋体" w:hAnsi="宋体" w:cs="宋体"/>
          <w:kern w:val="0"/>
          <w:sz w:val="24"/>
        </w:rPr>
        <w:t>18</w:t>
      </w:r>
      <w:r>
        <w:rPr>
          <w:rFonts w:hint="eastAsia" w:ascii="宋体" w:hAnsi="宋体" w:cs="宋体"/>
          <w:kern w:val="0"/>
          <w:sz w:val="24"/>
        </w:rPr>
        <w:t>人，占0.</w:t>
      </w:r>
      <w:r>
        <w:rPr>
          <w:rFonts w:ascii="宋体" w:hAnsi="宋体" w:cs="宋体"/>
          <w:kern w:val="0"/>
          <w:sz w:val="24"/>
        </w:rPr>
        <w:t>6%</w:t>
      </w:r>
      <w:r>
        <w:rPr>
          <w:rFonts w:hint="eastAsia" w:ascii="宋体" w:hAnsi="宋体" w:cs="宋体"/>
          <w:kern w:val="0"/>
          <w:sz w:val="24"/>
        </w:rPr>
        <w:t>；在校生文化课考试合格率</w:t>
      </w:r>
      <w:r>
        <w:rPr>
          <w:rFonts w:ascii="宋体" w:hAnsi="宋体" w:cs="宋体"/>
          <w:kern w:val="0"/>
          <w:sz w:val="24"/>
        </w:rPr>
        <w:t>98.35%</w:t>
      </w:r>
      <w:r>
        <w:rPr>
          <w:rFonts w:hint="eastAsia" w:ascii="宋体" w:hAnsi="宋体" w:cs="宋体"/>
          <w:kern w:val="0"/>
          <w:sz w:val="24"/>
        </w:rPr>
        <w:t>，2019年16级419名学生参加全国护士执业资格考试得证率达到98.36%以上。16级护理专业720名学生参加育婴员考证合格率100%，17级1024名学生参加浙江省红十字会救护员考证全部合格。19届</w:t>
      </w:r>
      <w:r>
        <w:rPr>
          <w:rFonts w:ascii="宋体" w:hAnsi="宋体" w:cs="宋体"/>
          <w:kern w:val="0"/>
          <w:sz w:val="24"/>
        </w:rPr>
        <w:t>学生毕业</w:t>
      </w:r>
      <w:r>
        <w:rPr>
          <w:rFonts w:hint="eastAsia" w:ascii="宋体" w:hAnsi="宋体" w:cs="宋体"/>
          <w:kern w:val="0"/>
          <w:sz w:val="24"/>
        </w:rPr>
        <w:t>生就业率</w:t>
      </w:r>
      <w:r>
        <w:rPr>
          <w:rFonts w:ascii="宋体" w:hAnsi="宋体" w:cs="宋体"/>
          <w:kern w:val="0"/>
          <w:sz w:val="24"/>
        </w:rPr>
        <w:t>为</w:t>
      </w:r>
      <w:r>
        <w:rPr>
          <w:rFonts w:hint="eastAsia" w:ascii="宋体" w:hAnsi="宋体" w:cs="宋体"/>
          <w:kern w:val="0"/>
          <w:sz w:val="24"/>
        </w:rPr>
        <w:t>99.27</w:t>
      </w:r>
      <w:r>
        <w:rPr>
          <w:rFonts w:ascii="宋体" w:hAnsi="宋体" w:cs="宋体"/>
          <w:kern w:val="0"/>
          <w:sz w:val="24"/>
        </w:rPr>
        <w:t>%。</w:t>
      </w:r>
    </w:p>
    <w:p>
      <w:pPr>
        <w:adjustRightInd w:val="0"/>
        <w:spacing w:line="360" w:lineRule="auto"/>
        <w:ind w:firstLine="482" w:firstLineChars="200"/>
        <w:jc w:val="left"/>
        <w:rPr>
          <w:rFonts w:ascii="宋体" w:cs="宋体"/>
          <w:b/>
          <w:kern w:val="0"/>
          <w:sz w:val="24"/>
        </w:rPr>
      </w:pPr>
      <w:r>
        <w:rPr>
          <w:rFonts w:hint="eastAsia" w:ascii="宋体" w:hAnsi="宋体" w:cs="宋体"/>
          <w:b/>
          <w:kern w:val="0"/>
          <w:sz w:val="24"/>
        </w:rPr>
        <w:t>表5：</w:t>
      </w:r>
      <w:r>
        <w:rPr>
          <w:rFonts w:hint="eastAsia" w:cs="宋体" w:asciiTheme="minorEastAsia" w:hAnsiTheme="minorEastAsia" w:eastAsiaTheme="minorEastAsia"/>
          <w:b/>
          <w:kern w:val="0"/>
          <w:sz w:val="24"/>
        </w:rPr>
        <w:t>2018年度、2019年度</w:t>
      </w:r>
      <w:r>
        <w:rPr>
          <w:rFonts w:hint="eastAsia" w:ascii="宋体" w:hAnsi="宋体" w:cs="宋体"/>
          <w:b/>
          <w:kern w:val="0"/>
          <w:sz w:val="24"/>
        </w:rPr>
        <w:t>学生素质情况主要指标比对表</w:t>
      </w:r>
    </w:p>
    <w:tbl>
      <w:tblPr>
        <w:tblStyle w:val="14"/>
        <w:tblW w:w="9654" w:type="dxa"/>
        <w:tblInd w:w="0" w:type="dxa"/>
        <w:tblLayout w:type="fixed"/>
        <w:tblCellMar>
          <w:top w:w="15" w:type="dxa"/>
          <w:left w:w="15" w:type="dxa"/>
          <w:bottom w:w="15" w:type="dxa"/>
          <w:right w:w="15" w:type="dxa"/>
        </w:tblCellMar>
      </w:tblPr>
      <w:tblGrid>
        <w:gridCol w:w="1331"/>
        <w:gridCol w:w="1661"/>
        <w:gridCol w:w="2552"/>
        <w:gridCol w:w="1984"/>
        <w:gridCol w:w="2126"/>
      </w:tblGrid>
      <w:tr>
        <w:tblPrEx>
          <w:tblLayout w:type="fixed"/>
          <w:tblCellMar>
            <w:top w:w="15" w:type="dxa"/>
            <w:left w:w="15" w:type="dxa"/>
            <w:bottom w:w="15" w:type="dxa"/>
            <w:right w:w="15" w:type="dxa"/>
          </w:tblCellMar>
        </w:tblPrEx>
        <w:trPr>
          <w:trHeight w:val="761" w:hRule="atLeast"/>
        </w:trPr>
        <w:tc>
          <w:tcPr>
            <w:tcW w:w="1331" w:type="dxa"/>
            <w:tcBorders>
              <w:top w:val="single" w:color="auto"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宋体"/>
                <w:kern w:val="0"/>
                <w:sz w:val="24"/>
              </w:rPr>
            </w:pPr>
            <w:r>
              <w:rPr>
                <w:rFonts w:hint="eastAsia" w:ascii="仿宋" w:hAnsi="仿宋" w:eastAsia="仿宋" w:cs="宋体"/>
                <w:kern w:val="0"/>
                <w:sz w:val="24"/>
              </w:rPr>
              <w:t>年份</w:t>
            </w:r>
          </w:p>
        </w:tc>
        <w:tc>
          <w:tcPr>
            <w:tcW w:w="1661"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宋体"/>
                <w:kern w:val="0"/>
                <w:sz w:val="24"/>
              </w:rPr>
            </w:pPr>
            <w:r>
              <w:rPr>
                <w:rFonts w:hint="eastAsia" w:ascii="仿宋" w:hAnsi="仿宋" w:eastAsia="仿宋" w:cs="宋体"/>
                <w:kern w:val="0"/>
                <w:sz w:val="24"/>
              </w:rPr>
              <w:t>文化课合格率</w:t>
            </w:r>
          </w:p>
        </w:tc>
        <w:tc>
          <w:tcPr>
            <w:tcW w:w="255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宋体"/>
                <w:kern w:val="0"/>
                <w:sz w:val="24"/>
              </w:rPr>
            </w:pPr>
            <w:r>
              <w:rPr>
                <w:rFonts w:hint="eastAsia" w:ascii="仿宋" w:hAnsi="仿宋" w:eastAsia="仿宋" w:cs="宋体"/>
                <w:kern w:val="0"/>
                <w:sz w:val="24"/>
              </w:rPr>
              <w:t>执业资格或职业技能</w:t>
            </w:r>
          </w:p>
          <w:p>
            <w:pPr>
              <w:adjustRightInd w:val="0"/>
              <w:jc w:val="center"/>
              <w:textAlignment w:val="center"/>
              <w:rPr>
                <w:rFonts w:ascii="仿宋" w:hAnsi="仿宋" w:eastAsia="仿宋" w:cs="宋体"/>
                <w:kern w:val="0"/>
                <w:sz w:val="24"/>
              </w:rPr>
            </w:pPr>
            <w:r>
              <w:rPr>
                <w:rFonts w:hint="eastAsia" w:ascii="仿宋" w:hAnsi="仿宋" w:eastAsia="仿宋" w:cs="宋体"/>
                <w:kern w:val="0"/>
                <w:sz w:val="24"/>
              </w:rPr>
              <w:t>证书获证率</w:t>
            </w: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宋体"/>
                <w:kern w:val="0"/>
                <w:sz w:val="24"/>
              </w:rPr>
            </w:pPr>
            <w:r>
              <w:rPr>
                <w:rFonts w:hint="eastAsia" w:ascii="仿宋" w:hAnsi="仿宋" w:eastAsia="仿宋" w:cs="宋体"/>
                <w:kern w:val="0"/>
                <w:sz w:val="24"/>
              </w:rPr>
              <w:t>国家体质测试</w:t>
            </w:r>
          </w:p>
          <w:p>
            <w:pPr>
              <w:adjustRightInd w:val="0"/>
              <w:jc w:val="center"/>
              <w:textAlignment w:val="center"/>
              <w:rPr>
                <w:rFonts w:ascii="仿宋" w:hAnsi="仿宋" w:eastAsia="仿宋" w:cs="宋体"/>
                <w:kern w:val="0"/>
                <w:sz w:val="24"/>
              </w:rPr>
            </w:pPr>
            <w:r>
              <w:rPr>
                <w:rFonts w:hint="eastAsia" w:ascii="仿宋" w:hAnsi="仿宋" w:eastAsia="仿宋" w:cs="宋体"/>
                <w:kern w:val="0"/>
                <w:sz w:val="24"/>
              </w:rPr>
              <w:t>合格率</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宋体"/>
                <w:kern w:val="0"/>
                <w:sz w:val="24"/>
              </w:rPr>
            </w:pPr>
            <w:r>
              <w:rPr>
                <w:rFonts w:hint="eastAsia" w:ascii="仿宋" w:hAnsi="仿宋" w:eastAsia="仿宋" w:cs="宋体"/>
                <w:kern w:val="0"/>
                <w:sz w:val="24"/>
              </w:rPr>
              <w:t>应届学生毕业率</w:t>
            </w:r>
          </w:p>
        </w:tc>
      </w:tr>
      <w:tr>
        <w:tblPrEx>
          <w:tblLayout w:type="fixed"/>
          <w:tblCellMar>
            <w:top w:w="15" w:type="dxa"/>
            <w:left w:w="15" w:type="dxa"/>
            <w:bottom w:w="15" w:type="dxa"/>
            <w:right w:w="15" w:type="dxa"/>
          </w:tblCellMar>
        </w:tblPrEx>
        <w:trPr>
          <w:trHeight w:val="558" w:hRule="atLeast"/>
        </w:trPr>
        <w:tc>
          <w:tcPr>
            <w:tcW w:w="1331"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2018</w:t>
            </w:r>
            <w:r>
              <w:rPr>
                <w:rFonts w:hint="eastAsia" w:ascii="仿宋" w:hAnsi="仿宋" w:eastAsia="仿宋" w:cs="仿宋_GB2312"/>
                <w:kern w:val="0"/>
                <w:sz w:val="24"/>
              </w:rPr>
              <w:t>年</w:t>
            </w:r>
          </w:p>
        </w:tc>
        <w:tc>
          <w:tcPr>
            <w:tcW w:w="1661"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98.15</w:t>
            </w:r>
            <w:r>
              <w:rPr>
                <w:rFonts w:hint="eastAsia" w:ascii="仿宋" w:hAnsi="仿宋" w:eastAsia="仿宋" w:cs="仿宋_GB2312"/>
                <w:kern w:val="0"/>
                <w:sz w:val="24"/>
              </w:rPr>
              <w:t>%</w:t>
            </w:r>
          </w:p>
        </w:tc>
        <w:tc>
          <w:tcPr>
            <w:tcW w:w="255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98.89</w:t>
            </w:r>
            <w:r>
              <w:rPr>
                <w:rFonts w:hint="eastAsia" w:ascii="仿宋" w:hAnsi="仿宋" w:eastAsia="仿宋" w:cs="仿宋_GB2312"/>
                <w:kern w:val="0"/>
                <w:sz w:val="24"/>
              </w:rPr>
              <w:t>%</w:t>
            </w: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98.63</w:t>
            </w:r>
            <w:r>
              <w:rPr>
                <w:rFonts w:hint="eastAsia" w:ascii="仿宋" w:hAnsi="仿宋" w:eastAsia="仿宋" w:cs="仿宋_GB2312"/>
                <w:kern w:val="0"/>
                <w:sz w:val="24"/>
              </w:rPr>
              <w:t>%</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9</w:t>
            </w:r>
            <w:r>
              <w:rPr>
                <w:rFonts w:hint="eastAsia" w:ascii="仿宋" w:hAnsi="仿宋" w:eastAsia="仿宋" w:cs="仿宋_GB2312"/>
                <w:kern w:val="0"/>
                <w:sz w:val="24"/>
              </w:rPr>
              <w:t>9</w:t>
            </w:r>
            <w:r>
              <w:rPr>
                <w:rFonts w:ascii="仿宋" w:hAnsi="仿宋" w:eastAsia="仿宋" w:cs="仿宋_GB2312"/>
                <w:kern w:val="0"/>
                <w:sz w:val="24"/>
              </w:rPr>
              <w:t>.</w:t>
            </w:r>
            <w:r>
              <w:rPr>
                <w:rFonts w:hint="eastAsia" w:ascii="仿宋" w:hAnsi="仿宋" w:eastAsia="仿宋" w:cs="仿宋_GB2312"/>
                <w:kern w:val="0"/>
                <w:sz w:val="24"/>
              </w:rPr>
              <w:t>0</w:t>
            </w:r>
            <w:r>
              <w:rPr>
                <w:rFonts w:ascii="仿宋" w:hAnsi="仿宋" w:eastAsia="仿宋" w:cs="仿宋_GB2312"/>
                <w:kern w:val="0"/>
                <w:sz w:val="24"/>
              </w:rPr>
              <w:t>2</w:t>
            </w:r>
            <w:r>
              <w:rPr>
                <w:rFonts w:hint="eastAsia" w:ascii="仿宋" w:hAnsi="仿宋" w:eastAsia="仿宋" w:cs="仿宋_GB2312"/>
                <w:kern w:val="0"/>
                <w:sz w:val="24"/>
              </w:rPr>
              <w:t>%</w:t>
            </w:r>
          </w:p>
        </w:tc>
      </w:tr>
      <w:tr>
        <w:tblPrEx>
          <w:tblLayout w:type="fixed"/>
          <w:tblCellMar>
            <w:top w:w="15" w:type="dxa"/>
            <w:left w:w="15" w:type="dxa"/>
            <w:bottom w:w="15" w:type="dxa"/>
            <w:right w:w="15" w:type="dxa"/>
          </w:tblCellMar>
        </w:tblPrEx>
        <w:trPr>
          <w:trHeight w:val="558" w:hRule="atLeast"/>
        </w:trPr>
        <w:tc>
          <w:tcPr>
            <w:tcW w:w="1331"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2019</w:t>
            </w:r>
            <w:r>
              <w:rPr>
                <w:rFonts w:hint="eastAsia" w:ascii="仿宋" w:hAnsi="仿宋" w:eastAsia="仿宋" w:cs="仿宋_GB2312"/>
                <w:kern w:val="0"/>
                <w:sz w:val="24"/>
              </w:rPr>
              <w:t>年</w:t>
            </w:r>
          </w:p>
        </w:tc>
        <w:tc>
          <w:tcPr>
            <w:tcW w:w="1661"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98.35</w:t>
            </w:r>
            <w:r>
              <w:rPr>
                <w:rFonts w:hint="eastAsia" w:ascii="仿宋" w:hAnsi="仿宋" w:eastAsia="仿宋" w:cs="仿宋_GB2312"/>
                <w:kern w:val="0"/>
                <w:sz w:val="24"/>
              </w:rPr>
              <w:t>%</w:t>
            </w:r>
          </w:p>
        </w:tc>
        <w:tc>
          <w:tcPr>
            <w:tcW w:w="255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98.36</w:t>
            </w:r>
            <w:r>
              <w:rPr>
                <w:rFonts w:hint="eastAsia" w:ascii="仿宋" w:hAnsi="仿宋" w:eastAsia="仿宋" w:cs="仿宋_GB2312"/>
                <w:kern w:val="0"/>
                <w:sz w:val="24"/>
              </w:rPr>
              <w:t>%</w:t>
            </w:r>
          </w:p>
        </w:tc>
        <w:tc>
          <w:tcPr>
            <w:tcW w:w="198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9</w:t>
            </w:r>
            <w:r>
              <w:rPr>
                <w:rFonts w:ascii="仿宋" w:hAnsi="仿宋" w:eastAsia="仿宋" w:cs="仿宋_GB2312"/>
                <w:kern w:val="0"/>
                <w:sz w:val="24"/>
              </w:rPr>
              <w:t>9.49%</w:t>
            </w:r>
          </w:p>
        </w:tc>
        <w:tc>
          <w:tcPr>
            <w:tcW w:w="2126"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9</w:t>
            </w:r>
            <w:r>
              <w:rPr>
                <w:rFonts w:ascii="仿宋" w:hAnsi="仿宋" w:eastAsia="仿宋" w:cs="仿宋_GB2312"/>
                <w:kern w:val="0"/>
                <w:sz w:val="24"/>
              </w:rPr>
              <w:t>9.2</w:t>
            </w:r>
            <w:r>
              <w:rPr>
                <w:rFonts w:hint="eastAsia" w:ascii="仿宋" w:hAnsi="仿宋" w:eastAsia="仿宋" w:cs="仿宋_GB2312"/>
                <w:kern w:val="0"/>
                <w:sz w:val="24"/>
              </w:rPr>
              <w:t>7%</w:t>
            </w:r>
          </w:p>
        </w:tc>
      </w:tr>
    </w:tbl>
    <w:p>
      <w:pPr>
        <w:pStyle w:val="3"/>
        <w:keepNext w:val="0"/>
        <w:keepLines w:val="0"/>
        <w:adjustRightInd w:val="0"/>
        <w:spacing w:line="360" w:lineRule="auto"/>
        <w:ind w:firstLine="560" w:firstLineChars="200"/>
        <w:rPr>
          <w:b w:val="0"/>
          <w:sz w:val="28"/>
          <w:szCs w:val="28"/>
        </w:rPr>
      </w:pPr>
      <w:r>
        <w:rPr>
          <w:rFonts w:hint="eastAsia"/>
          <w:b w:val="0"/>
          <w:sz w:val="28"/>
          <w:szCs w:val="28"/>
        </w:rPr>
        <w:t>2.2在校体验</w:t>
      </w:r>
      <w:bookmarkEnd w:id="12"/>
    </w:p>
    <w:p>
      <w:pPr>
        <w:pStyle w:val="13"/>
        <w:adjustRightInd w:val="0"/>
        <w:snapToGrid w:val="0"/>
        <w:spacing w:beforeAutospacing="0" w:afterAutospacing="0"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2019年，学校各职能</w:t>
      </w:r>
      <w:r>
        <w:rPr>
          <w:rFonts w:cs="宋体" w:asciiTheme="minorEastAsia" w:hAnsiTheme="minorEastAsia" w:eastAsiaTheme="minorEastAsia"/>
        </w:rPr>
        <w:t>处室</w:t>
      </w:r>
      <w:r>
        <w:rPr>
          <w:rFonts w:hint="eastAsia" w:cs="宋体" w:asciiTheme="minorEastAsia" w:hAnsiTheme="minorEastAsia" w:eastAsiaTheme="minorEastAsia"/>
        </w:rPr>
        <w:t>通过召开学生座谈会，班</w:t>
      </w:r>
      <w:r>
        <w:rPr>
          <w:rFonts w:cs="宋体" w:asciiTheme="minorEastAsia" w:hAnsiTheme="minorEastAsia" w:eastAsiaTheme="minorEastAsia"/>
        </w:rPr>
        <w:t>级走访</w:t>
      </w:r>
      <w:r>
        <w:rPr>
          <w:rFonts w:hint="eastAsia" w:cs="宋体" w:asciiTheme="minorEastAsia" w:hAnsiTheme="minorEastAsia" w:eastAsiaTheme="minorEastAsia"/>
        </w:rPr>
        <w:t>等</w:t>
      </w:r>
      <w:r>
        <w:rPr>
          <w:rFonts w:cs="宋体" w:asciiTheme="minorEastAsia" w:hAnsiTheme="minorEastAsia" w:eastAsiaTheme="minorEastAsia"/>
        </w:rPr>
        <w:t>形式，</w:t>
      </w:r>
      <w:r>
        <w:rPr>
          <w:rFonts w:hint="eastAsia" w:cs="宋体" w:asciiTheme="minorEastAsia" w:hAnsiTheme="minorEastAsia" w:eastAsiaTheme="minorEastAsia"/>
        </w:rPr>
        <w:t>及时了解和掌握学生日常学习、生活情况，全面收集和了解学生对教学、学生管理、生活后勤保障等各方面信息和意见，并通过全校学生参与的学生评教、班主任民主测评、生活后勤调查、毕业生在线问卷等形式对学生理论学习、专业学习、实训实习、生活等各方面进行满意度调查，学生对学校各方面满意较高。</w:t>
      </w:r>
    </w:p>
    <w:p>
      <w:pPr>
        <w:pStyle w:val="13"/>
        <w:adjustRightInd w:val="0"/>
        <w:snapToGrid w:val="0"/>
        <w:spacing w:beforeAutospacing="0" w:afterAutospacing="0" w:line="360" w:lineRule="auto"/>
        <w:ind w:firstLine="480" w:firstLineChars="200"/>
        <w:jc w:val="center"/>
        <w:rPr>
          <w:rFonts w:ascii="宋体" w:hAnsi="宋体" w:cs="宋体"/>
          <w:b/>
          <w:color w:val="C00000"/>
        </w:rPr>
      </w:pPr>
      <w:r>
        <w:rPr>
          <w:rFonts w:hint="eastAsia" w:ascii="宋体" w:hAnsi="宋体" w:cs="宋体"/>
        </w:rPr>
        <w:t>图1</w:t>
      </w:r>
      <w:r>
        <w:rPr>
          <w:rFonts w:hint="eastAsia" w:ascii="宋体" w:hAnsi="宋体" w:cs="宋体"/>
          <w:b/>
        </w:rPr>
        <w:t>：2019年度学生在校体验各项满意度指标调查情况</w:t>
      </w:r>
    </w:p>
    <w:p>
      <w:pPr>
        <w:pStyle w:val="13"/>
        <w:adjustRightInd w:val="0"/>
        <w:snapToGrid w:val="0"/>
        <w:spacing w:beforeAutospacing="0" w:afterAutospacing="0" w:line="360" w:lineRule="auto"/>
        <w:ind w:firstLine="241" w:firstLineChars="100"/>
        <w:jc w:val="center"/>
        <w:rPr>
          <w:rFonts w:ascii="宋体" w:hAnsi="宋体" w:cs="宋体"/>
          <w:b/>
        </w:rPr>
      </w:pPr>
      <w:r>
        <w:rPr>
          <w:rFonts w:hint="eastAsia" w:ascii="宋体" w:hAnsi="宋体" w:cs="宋体"/>
          <w:b/>
        </w:rPr>
        <w:drawing>
          <wp:inline distT="0" distB="0" distL="114300" distR="114300">
            <wp:extent cx="4472305" cy="2549525"/>
            <wp:effectExtent l="0" t="0" r="4445" b="3175"/>
            <wp:docPr id="5" name="图片 5" descr="a87af150f31060991f0ad2c83fe5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87af150f31060991f0ad2c83fe5ab2"/>
                    <pic:cNvPicPr>
                      <a:picLocks noChangeAspect="1"/>
                    </pic:cNvPicPr>
                  </pic:nvPicPr>
                  <pic:blipFill>
                    <a:blip r:embed="rId10"/>
                    <a:stretch>
                      <a:fillRect/>
                    </a:stretch>
                  </pic:blipFill>
                  <pic:spPr>
                    <a:xfrm>
                      <a:off x="0" y="0"/>
                      <a:ext cx="4472305" cy="2549525"/>
                    </a:xfrm>
                    <a:prstGeom prst="rect">
                      <a:avLst/>
                    </a:prstGeom>
                  </pic:spPr>
                </pic:pic>
              </a:graphicData>
            </a:graphic>
          </wp:inline>
        </w:drawing>
      </w:r>
    </w:p>
    <w:p>
      <w:pPr>
        <w:pStyle w:val="3"/>
        <w:keepNext w:val="0"/>
        <w:keepLines w:val="0"/>
        <w:adjustRightInd w:val="0"/>
        <w:spacing w:before="156" w:beforeLines="50" w:line="360" w:lineRule="auto"/>
        <w:ind w:firstLine="560" w:firstLineChars="200"/>
        <w:rPr>
          <w:b w:val="0"/>
          <w:sz w:val="28"/>
          <w:szCs w:val="28"/>
        </w:rPr>
      </w:pPr>
      <w:bookmarkStart w:id="14" w:name="_Toc471905912"/>
      <w:r>
        <w:rPr>
          <w:rFonts w:hint="eastAsia"/>
          <w:b w:val="0"/>
          <w:sz w:val="28"/>
          <w:szCs w:val="28"/>
        </w:rPr>
        <w:t>2.3资助情况</w:t>
      </w:r>
    </w:p>
    <w:p>
      <w:pPr>
        <w:pStyle w:val="3"/>
        <w:keepNext w:val="0"/>
        <w:keepLines w:val="0"/>
        <w:adjustRightInd w:val="0"/>
        <w:spacing w:line="360" w:lineRule="auto"/>
        <w:ind w:firstLine="480" w:firstLineChars="200"/>
        <w:rPr>
          <w:rFonts w:ascii="宋体" w:hAnsi="宋体" w:eastAsia="宋体" w:cs="宋体"/>
          <w:b w:val="0"/>
          <w:kern w:val="0"/>
          <w:sz w:val="24"/>
        </w:rPr>
      </w:pPr>
      <w:r>
        <w:rPr>
          <w:rFonts w:hint="eastAsia" w:ascii="宋体" w:hAnsi="宋体" w:eastAsia="宋体" w:cs="宋体"/>
          <w:b w:val="0"/>
          <w:kern w:val="0"/>
          <w:sz w:val="24"/>
        </w:rPr>
        <w:t>学校成立了学生资助工作领导小组，认真宣传和落实国家资助政策，制定《海宁卫生学校奖、助学金制度》，严格规范、及时准确发放。同时根据学校特点，在国家资助政策的基础上，学校自筹资金开设学校“天使助学金”，形成了以国家资助为基础、以学校助学奖励为特色的资助体系。2019年，有111人次获得国家助学金，共发放助学金111000元；有56人次享受免代收费，总金额30300元；有73人享受营养餐补助，总金额41970元。学校“天使助学金”两学期共60人次获得奖助，共发放天使助学金8</w:t>
      </w:r>
      <w:r>
        <w:rPr>
          <w:rFonts w:ascii="宋体" w:hAnsi="宋体" w:eastAsia="宋体" w:cs="宋体"/>
          <w:b w:val="0"/>
          <w:kern w:val="0"/>
          <w:sz w:val="24"/>
        </w:rPr>
        <w:t>0</w:t>
      </w:r>
      <w:r>
        <w:rPr>
          <w:rFonts w:hint="eastAsia" w:ascii="宋体" w:hAnsi="宋体" w:eastAsia="宋体" w:cs="宋体"/>
          <w:b w:val="0"/>
          <w:kern w:val="0"/>
          <w:sz w:val="24"/>
        </w:rPr>
        <w:t>000元。</w:t>
      </w:r>
    </w:p>
    <w:bookmarkEnd w:id="13"/>
    <w:bookmarkEnd w:id="14"/>
    <w:p>
      <w:pPr>
        <w:pStyle w:val="3"/>
        <w:keepNext w:val="0"/>
        <w:keepLines w:val="0"/>
        <w:adjustRightInd w:val="0"/>
        <w:spacing w:line="360" w:lineRule="auto"/>
        <w:ind w:firstLine="562" w:firstLineChars="200"/>
        <w:rPr>
          <w:rFonts w:cs="宋体" w:asciiTheme="minorEastAsia" w:hAnsiTheme="minorEastAsia" w:eastAsiaTheme="minorEastAsia"/>
          <w:kern w:val="0"/>
          <w:sz w:val="24"/>
        </w:rPr>
      </w:pPr>
      <w:bookmarkStart w:id="15" w:name="_Toc471905915"/>
      <w:bookmarkStart w:id="16" w:name="_Toc471905916"/>
      <w:bookmarkStart w:id="17" w:name="_Toc22071"/>
      <w:r>
        <w:rPr>
          <w:rFonts w:hint="eastAsia"/>
          <w:sz w:val="28"/>
          <w:szCs w:val="28"/>
        </w:rPr>
        <w:t>2.4就业质量</w:t>
      </w:r>
    </w:p>
    <w:p>
      <w:pPr>
        <w:adjustRightInd w:val="0"/>
        <w:spacing w:line="360" w:lineRule="auto"/>
        <w:ind w:firstLine="600" w:firstLineChars="250"/>
        <w:outlineLvl w:val="1"/>
        <w:rPr>
          <w:rFonts w:ascii="宋体" w:hAnsi="宋体" w:cs="宋体"/>
          <w:kern w:val="0"/>
          <w:sz w:val="24"/>
        </w:rPr>
      </w:pPr>
      <w:r>
        <w:rPr>
          <w:rFonts w:hint="eastAsia" w:ascii="宋体" w:hAnsi="宋体" w:cs="宋体"/>
          <w:kern w:val="0"/>
          <w:sz w:val="24"/>
        </w:rPr>
        <w:t>201</w:t>
      </w:r>
      <w:r>
        <w:rPr>
          <w:rFonts w:ascii="宋体" w:hAnsi="宋体" w:cs="宋体"/>
          <w:kern w:val="0"/>
          <w:sz w:val="24"/>
        </w:rPr>
        <w:t>9</w:t>
      </w:r>
      <w:r>
        <w:rPr>
          <w:rFonts w:hint="eastAsia" w:ascii="宋体" w:hAnsi="宋体" w:cs="宋体"/>
          <w:kern w:val="0"/>
          <w:sz w:val="24"/>
        </w:rPr>
        <w:t>年学校毕业生共计</w:t>
      </w:r>
      <w:r>
        <w:rPr>
          <w:rFonts w:ascii="宋体" w:hAnsi="宋体" w:cs="宋体"/>
          <w:kern w:val="0"/>
          <w:sz w:val="24"/>
        </w:rPr>
        <w:t>864</w:t>
      </w:r>
      <w:r>
        <w:rPr>
          <w:rFonts w:hint="eastAsia" w:ascii="宋体" w:hAnsi="宋体" w:cs="宋体"/>
          <w:kern w:val="0"/>
          <w:sz w:val="24"/>
        </w:rPr>
        <w:t>人，</w:t>
      </w:r>
      <w:r>
        <w:rPr>
          <w:rFonts w:ascii="宋体" w:hAnsi="宋体" w:cs="宋体"/>
          <w:kern w:val="0"/>
          <w:sz w:val="24"/>
        </w:rPr>
        <w:t>就业人数</w:t>
      </w:r>
      <w:r>
        <w:rPr>
          <w:rFonts w:hint="eastAsia" w:ascii="宋体" w:hAnsi="宋体" w:cs="宋体"/>
          <w:kern w:val="0"/>
          <w:sz w:val="24"/>
        </w:rPr>
        <w:t>（含升学）857人，就业率（含升学）达</w:t>
      </w:r>
      <w:r>
        <w:rPr>
          <w:rFonts w:ascii="宋体" w:hAnsi="宋体" w:cs="宋体"/>
          <w:kern w:val="0"/>
          <w:sz w:val="24"/>
        </w:rPr>
        <w:t>99.27</w:t>
      </w:r>
      <w:r>
        <w:rPr>
          <w:rFonts w:hint="eastAsia" w:ascii="宋体" w:hAnsi="宋体" w:cs="宋体"/>
          <w:kern w:val="0"/>
          <w:sz w:val="24"/>
        </w:rPr>
        <w:t>%，其中对口</w:t>
      </w:r>
      <w:r>
        <w:rPr>
          <w:rFonts w:ascii="宋体" w:hAnsi="宋体" w:cs="宋体"/>
          <w:kern w:val="0"/>
          <w:sz w:val="24"/>
        </w:rPr>
        <w:t>就</w:t>
      </w:r>
      <w:r>
        <w:rPr>
          <w:rFonts w:hint="eastAsia" w:ascii="宋体" w:hAnsi="宋体" w:cs="宋体"/>
          <w:kern w:val="0"/>
          <w:sz w:val="24"/>
        </w:rPr>
        <w:t>业率达98.</w:t>
      </w:r>
      <w:r>
        <w:rPr>
          <w:rFonts w:ascii="宋体" w:hAnsi="宋体" w:cs="宋体"/>
          <w:kern w:val="0"/>
          <w:sz w:val="24"/>
        </w:rPr>
        <w:t>58%</w:t>
      </w:r>
      <w:r>
        <w:rPr>
          <w:rFonts w:hint="eastAsia" w:ascii="宋体" w:hAnsi="宋体" w:cs="宋体"/>
          <w:kern w:val="0"/>
          <w:sz w:val="24"/>
        </w:rPr>
        <w:t>；升入高等院校</w:t>
      </w:r>
      <w:r>
        <w:rPr>
          <w:rFonts w:ascii="宋体" w:hAnsi="宋体" w:cs="宋体"/>
          <w:kern w:val="0"/>
          <w:sz w:val="24"/>
        </w:rPr>
        <w:t>733</w:t>
      </w:r>
      <w:r>
        <w:rPr>
          <w:rFonts w:hint="eastAsia" w:ascii="宋体" w:hAnsi="宋体" w:cs="宋体"/>
          <w:kern w:val="0"/>
          <w:sz w:val="24"/>
        </w:rPr>
        <w:t>人，占</w:t>
      </w:r>
      <w:r>
        <w:rPr>
          <w:rFonts w:ascii="宋体" w:hAnsi="宋体" w:cs="宋体"/>
          <w:kern w:val="0"/>
          <w:sz w:val="24"/>
        </w:rPr>
        <w:t>84.83</w:t>
      </w:r>
      <w:r>
        <w:rPr>
          <w:rFonts w:hint="eastAsia" w:ascii="宋体" w:hAnsi="宋体" w:cs="宋体"/>
          <w:kern w:val="0"/>
          <w:sz w:val="24"/>
        </w:rPr>
        <w:t>%，其中本科</w:t>
      </w:r>
      <w:r>
        <w:rPr>
          <w:rFonts w:ascii="宋体" w:hAnsi="宋体" w:cs="宋体"/>
          <w:kern w:val="0"/>
          <w:sz w:val="24"/>
        </w:rPr>
        <w:t>3</w:t>
      </w:r>
      <w:r>
        <w:rPr>
          <w:rFonts w:hint="eastAsia" w:ascii="宋体" w:hAnsi="宋体" w:cs="宋体"/>
          <w:kern w:val="0"/>
          <w:sz w:val="24"/>
        </w:rPr>
        <w:t>1人，占</w:t>
      </w:r>
      <w:r>
        <w:rPr>
          <w:rFonts w:ascii="宋体" w:hAnsi="宋体" w:cs="宋体"/>
          <w:kern w:val="0"/>
          <w:sz w:val="24"/>
        </w:rPr>
        <w:t>升学人数的3.5%</w:t>
      </w:r>
      <w:r>
        <w:rPr>
          <w:rFonts w:hint="eastAsia" w:ascii="宋体" w:hAnsi="宋体" w:cs="宋体"/>
          <w:kern w:val="0"/>
          <w:sz w:val="24"/>
        </w:rPr>
        <w:t>；初次就业起薪平均为</w:t>
      </w:r>
      <w:r>
        <w:rPr>
          <w:rFonts w:ascii="宋体" w:hAnsi="宋体" w:cs="宋体"/>
          <w:kern w:val="0"/>
          <w:sz w:val="24"/>
        </w:rPr>
        <w:t>2956</w:t>
      </w:r>
      <w:r>
        <w:rPr>
          <w:rFonts w:hint="eastAsia" w:ascii="宋体" w:hAnsi="宋体" w:cs="宋体"/>
          <w:kern w:val="0"/>
          <w:sz w:val="24"/>
        </w:rPr>
        <w:t>元。近几年</w:t>
      </w:r>
      <w:r>
        <w:rPr>
          <w:rFonts w:ascii="宋体" w:hAnsi="宋体" w:cs="宋体"/>
          <w:kern w:val="0"/>
          <w:sz w:val="24"/>
        </w:rPr>
        <w:t>就业率都</w:t>
      </w:r>
      <w:r>
        <w:rPr>
          <w:rFonts w:hint="eastAsia" w:ascii="宋体" w:hAnsi="宋体" w:cs="宋体"/>
          <w:kern w:val="0"/>
          <w:sz w:val="24"/>
        </w:rPr>
        <w:t>较高</w:t>
      </w:r>
      <w:r>
        <w:rPr>
          <w:rFonts w:ascii="宋体" w:hAnsi="宋体" w:cs="宋体"/>
          <w:kern w:val="0"/>
          <w:sz w:val="24"/>
        </w:rPr>
        <w:t>，</w:t>
      </w:r>
      <w:r>
        <w:rPr>
          <w:rFonts w:hint="eastAsia" w:ascii="宋体" w:hAnsi="宋体" w:cs="宋体"/>
          <w:kern w:val="0"/>
          <w:sz w:val="24"/>
        </w:rPr>
        <w:t>达到99</w:t>
      </w:r>
      <w:r>
        <w:rPr>
          <w:rFonts w:ascii="宋体" w:hAnsi="宋体" w:cs="宋体"/>
          <w:kern w:val="0"/>
          <w:sz w:val="24"/>
        </w:rPr>
        <w:t>%</w:t>
      </w:r>
      <w:r>
        <w:rPr>
          <w:rFonts w:hint="eastAsia" w:ascii="宋体" w:hAnsi="宋体" w:cs="宋体"/>
          <w:kern w:val="0"/>
          <w:sz w:val="24"/>
        </w:rPr>
        <w:t>以上，与上一年相比</w:t>
      </w:r>
      <w:r>
        <w:rPr>
          <w:rFonts w:ascii="宋体" w:hAnsi="宋体" w:cs="宋体"/>
          <w:kern w:val="0"/>
          <w:sz w:val="24"/>
        </w:rPr>
        <w:t>各专业间</w:t>
      </w:r>
      <w:r>
        <w:rPr>
          <w:rFonts w:hint="eastAsia" w:ascii="宋体" w:hAnsi="宋体" w:cs="宋体"/>
          <w:kern w:val="0"/>
          <w:sz w:val="24"/>
        </w:rPr>
        <w:t>无明显</w:t>
      </w:r>
      <w:r>
        <w:rPr>
          <w:rFonts w:ascii="宋体" w:hAnsi="宋体" w:cs="宋体"/>
          <w:kern w:val="0"/>
          <w:sz w:val="24"/>
        </w:rPr>
        <w:t>差异。</w:t>
      </w:r>
    </w:p>
    <w:p>
      <w:pPr>
        <w:adjustRightInd w:val="0"/>
        <w:spacing w:line="360" w:lineRule="auto"/>
        <w:ind w:firstLine="482" w:firstLineChars="200"/>
        <w:outlineLvl w:val="1"/>
        <w:rPr>
          <w:rFonts w:ascii="宋体" w:hAnsi="宋体" w:cs="宋体"/>
          <w:b/>
          <w:kern w:val="0"/>
          <w:sz w:val="24"/>
        </w:rPr>
      </w:pPr>
      <w:r>
        <w:rPr>
          <w:rFonts w:hint="eastAsia" w:ascii="宋体" w:hAnsi="宋体" w:cs="宋体"/>
          <w:b/>
          <w:kern w:val="0"/>
          <w:sz w:val="24"/>
        </w:rPr>
        <w:t>表6：201</w:t>
      </w:r>
      <w:r>
        <w:rPr>
          <w:rFonts w:ascii="宋体" w:hAnsi="宋体" w:cs="宋体"/>
          <w:b/>
          <w:kern w:val="0"/>
          <w:sz w:val="24"/>
        </w:rPr>
        <w:t>8</w:t>
      </w:r>
      <w:r>
        <w:rPr>
          <w:rFonts w:hint="eastAsia" w:ascii="宋体" w:hAnsi="宋体" w:cs="宋体"/>
          <w:b/>
          <w:kern w:val="0"/>
          <w:sz w:val="24"/>
        </w:rPr>
        <w:t>年、201</w:t>
      </w:r>
      <w:r>
        <w:rPr>
          <w:rFonts w:ascii="宋体" w:hAnsi="宋体" w:cs="宋体"/>
          <w:b/>
          <w:kern w:val="0"/>
          <w:sz w:val="24"/>
        </w:rPr>
        <w:t>9</w:t>
      </w:r>
      <w:r>
        <w:rPr>
          <w:rFonts w:hint="eastAsia" w:ascii="宋体" w:hAnsi="宋体" w:cs="宋体"/>
          <w:b/>
          <w:kern w:val="0"/>
          <w:sz w:val="24"/>
        </w:rPr>
        <w:t>年度各专业毕业生就业/升学情况汇总比对表</w:t>
      </w:r>
    </w:p>
    <w:tbl>
      <w:tblPr>
        <w:tblStyle w:val="14"/>
        <w:tblW w:w="9620" w:type="dxa"/>
        <w:jc w:val="center"/>
        <w:tblInd w:w="0" w:type="dxa"/>
        <w:tblLayout w:type="fixed"/>
        <w:tblCellMar>
          <w:top w:w="15" w:type="dxa"/>
          <w:left w:w="15" w:type="dxa"/>
          <w:bottom w:w="15" w:type="dxa"/>
          <w:right w:w="15" w:type="dxa"/>
        </w:tblCellMar>
      </w:tblPr>
      <w:tblGrid>
        <w:gridCol w:w="730"/>
        <w:gridCol w:w="1945"/>
        <w:gridCol w:w="972"/>
        <w:gridCol w:w="972"/>
        <w:gridCol w:w="973"/>
        <w:gridCol w:w="973"/>
        <w:gridCol w:w="972"/>
        <w:gridCol w:w="834"/>
        <w:gridCol w:w="1249"/>
      </w:tblGrid>
      <w:tr>
        <w:tblPrEx>
          <w:tblLayout w:type="fixed"/>
          <w:tblCellMar>
            <w:top w:w="15" w:type="dxa"/>
            <w:left w:w="15" w:type="dxa"/>
            <w:bottom w:w="15" w:type="dxa"/>
            <w:right w:w="15" w:type="dxa"/>
          </w:tblCellMar>
        </w:tblPrEx>
        <w:trPr>
          <w:trHeight w:val="658" w:hRule="atLeast"/>
          <w:jc w:val="center"/>
        </w:trPr>
        <w:tc>
          <w:tcPr>
            <w:tcW w:w="730"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年份</w:t>
            </w:r>
          </w:p>
        </w:tc>
        <w:tc>
          <w:tcPr>
            <w:tcW w:w="194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专  业</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护理</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药剂</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中药</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医学检验技术</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医学影像</w:t>
            </w:r>
          </w:p>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技术</w:t>
            </w:r>
          </w:p>
        </w:tc>
        <w:tc>
          <w:tcPr>
            <w:tcW w:w="8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助产</w:t>
            </w:r>
          </w:p>
        </w:tc>
        <w:tc>
          <w:tcPr>
            <w:tcW w:w="1249" w:type="dxa"/>
            <w:tcBorders>
              <w:top w:val="single" w:color="000000" w:sz="4" w:space="0"/>
              <w:left w:val="single" w:color="000000" w:sz="4" w:space="0"/>
              <w:bottom w:val="single" w:color="000000" w:sz="4" w:space="0"/>
              <w:right w:val="single" w:color="000000" w:sz="4" w:space="0"/>
            </w:tcBorders>
            <w:vAlign w:val="center"/>
          </w:tcPr>
          <w:p>
            <w:pPr>
              <w:adjustRightInd w:val="0"/>
              <w:ind w:firstLine="120" w:firstLineChars="50"/>
              <w:jc w:val="center"/>
              <w:textAlignment w:val="center"/>
              <w:rPr>
                <w:rFonts w:ascii="仿宋" w:hAnsi="仿宋" w:eastAsia="仿宋" w:cs="仿宋_GB2312"/>
                <w:kern w:val="0"/>
                <w:sz w:val="24"/>
              </w:rPr>
            </w:pPr>
            <w:r>
              <w:rPr>
                <w:rFonts w:hint="eastAsia" w:ascii="仿宋" w:hAnsi="仿宋" w:eastAsia="仿宋" w:cs="仿宋_GB2312"/>
                <w:kern w:val="0"/>
                <w:sz w:val="24"/>
              </w:rPr>
              <w:t>合计</w:t>
            </w:r>
          </w:p>
        </w:tc>
      </w:tr>
      <w:tr>
        <w:tblPrEx>
          <w:tblLayout w:type="fixed"/>
          <w:tblCellMar>
            <w:top w:w="15" w:type="dxa"/>
            <w:left w:w="15" w:type="dxa"/>
            <w:bottom w:w="15" w:type="dxa"/>
            <w:right w:w="15" w:type="dxa"/>
          </w:tblCellMar>
        </w:tblPrEx>
        <w:trPr>
          <w:trHeight w:val="525" w:hRule="atLeast"/>
          <w:jc w:val="center"/>
        </w:trPr>
        <w:tc>
          <w:tcPr>
            <w:tcW w:w="730" w:type="dxa"/>
            <w:vMerge w:val="restart"/>
            <w:tcBorders>
              <w:top w:val="single" w:color="000000" w:sz="4" w:space="0"/>
              <w:left w:val="single" w:color="000000" w:sz="4" w:space="0"/>
              <w:right w:val="single" w:color="000000" w:sz="4" w:space="0"/>
            </w:tcBorders>
            <w:vAlign w:val="center"/>
          </w:tcPr>
          <w:p>
            <w:pPr>
              <w:adjustRightInd w:val="0"/>
              <w:jc w:val="center"/>
              <w:textAlignment w:val="center"/>
              <w:rPr>
                <w:rFonts w:ascii="仿宋" w:hAnsi="仿宋" w:eastAsia="仿宋" w:cs="仿宋_GB2312"/>
                <w:b/>
                <w:kern w:val="0"/>
                <w:sz w:val="24"/>
              </w:rPr>
            </w:pPr>
            <w:r>
              <w:rPr>
                <w:rFonts w:hint="eastAsia" w:ascii="仿宋" w:hAnsi="仿宋" w:eastAsia="仿宋" w:cs="仿宋_GB2312"/>
                <w:b/>
                <w:kern w:val="0"/>
                <w:sz w:val="24"/>
              </w:rPr>
              <w:t>201</w:t>
            </w:r>
            <w:r>
              <w:rPr>
                <w:rFonts w:ascii="仿宋" w:hAnsi="仿宋" w:eastAsia="仿宋" w:cs="仿宋_GB2312"/>
                <w:b/>
                <w:kern w:val="0"/>
                <w:sz w:val="24"/>
              </w:rPr>
              <w:t>9</w:t>
            </w:r>
          </w:p>
        </w:tc>
        <w:tc>
          <w:tcPr>
            <w:tcW w:w="194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毕业生数</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552</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141</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47</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50</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28</w:t>
            </w:r>
          </w:p>
        </w:tc>
        <w:tc>
          <w:tcPr>
            <w:tcW w:w="8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46</w:t>
            </w:r>
          </w:p>
        </w:tc>
        <w:tc>
          <w:tcPr>
            <w:tcW w:w="1249"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864</w:t>
            </w:r>
          </w:p>
        </w:tc>
      </w:tr>
      <w:tr>
        <w:tblPrEx>
          <w:tblLayout w:type="fixed"/>
          <w:tblCellMar>
            <w:top w:w="15" w:type="dxa"/>
            <w:left w:w="15" w:type="dxa"/>
            <w:bottom w:w="15" w:type="dxa"/>
            <w:right w:w="15" w:type="dxa"/>
          </w:tblCellMar>
        </w:tblPrEx>
        <w:trPr>
          <w:trHeight w:val="547" w:hRule="atLeast"/>
          <w:jc w:val="center"/>
        </w:trPr>
        <w:tc>
          <w:tcPr>
            <w:tcW w:w="730" w:type="dxa"/>
            <w:vMerge w:val="continue"/>
            <w:tcBorders>
              <w:left w:val="single" w:color="000000" w:sz="4" w:space="0"/>
              <w:right w:val="single" w:color="000000" w:sz="4" w:space="0"/>
            </w:tcBorders>
            <w:vAlign w:val="center"/>
          </w:tcPr>
          <w:p>
            <w:pPr>
              <w:adjustRightInd w:val="0"/>
              <w:jc w:val="center"/>
              <w:textAlignment w:val="center"/>
              <w:rPr>
                <w:rFonts w:ascii="仿宋" w:hAnsi="仿宋" w:eastAsia="仿宋" w:cs="仿宋_GB2312"/>
                <w:b/>
                <w:kern w:val="0"/>
                <w:sz w:val="24"/>
              </w:rPr>
            </w:pPr>
          </w:p>
        </w:tc>
        <w:tc>
          <w:tcPr>
            <w:tcW w:w="194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直接就业</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80</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5</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0</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3</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18</w:t>
            </w:r>
          </w:p>
        </w:tc>
        <w:tc>
          <w:tcPr>
            <w:tcW w:w="8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18</w:t>
            </w:r>
          </w:p>
        </w:tc>
        <w:tc>
          <w:tcPr>
            <w:tcW w:w="1249"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12</w:t>
            </w:r>
            <w:r>
              <w:rPr>
                <w:rFonts w:hint="eastAsia" w:ascii="仿宋" w:hAnsi="仿宋" w:eastAsia="仿宋" w:cs="仿宋_GB2312"/>
                <w:kern w:val="0"/>
                <w:sz w:val="24"/>
              </w:rPr>
              <w:t>4</w:t>
            </w:r>
          </w:p>
        </w:tc>
      </w:tr>
      <w:tr>
        <w:tblPrEx>
          <w:tblLayout w:type="fixed"/>
          <w:tblCellMar>
            <w:top w:w="15" w:type="dxa"/>
            <w:left w:w="15" w:type="dxa"/>
            <w:bottom w:w="15" w:type="dxa"/>
            <w:right w:w="15" w:type="dxa"/>
          </w:tblCellMar>
        </w:tblPrEx>
        <w:trPr>
          <w:trHeight w:val="569" w:hRule="atLeast"/>
          <w:jc w:val="center"/>
        </w:trPr>
        <w:tc>
          <w:tcPr>
            <w:tcW w:w="730" w:type="dxa"/>
            <w:vMerge w:val="continue"/>
            <w:tcBorders>
              <w:left w:val="single" w:color="000000" w:sz="4" w:space="0"/>
              <w:right w:val="single" w:color="000000" w:sz="4" w:space="0"/>
            </w:tcBorders>
            <w:vAlign w:val="center"/>
          </w:tcPr>
          <w:p>
            <w:pPr>
              <w:adjustRightInd w:val="0"/>
              <w:jc w:val="center"/>
              <w:textAlignment w:val="center"/>
              <w:rPr>
                <w:rFonts w:ascii="仿宋" w:hAnsi="仿宋" w:eastAsia="仿宋" w:cs="仿宋_GB2312"/>
                <w:b/>
                <w:kern w:val="0"/>
                <w:sz w:val="24"/>
              </w:rPr>
            </w:pPr>
          </w:p>
        </w:tc>
        <w:tc>
          <w:tcPr>
            <w:tcW w:w="194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升入高校</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469</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134</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47</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47</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9</w:t>
            </w:r>
          </w:p>
        </w:tc>
        <w:tc>
          <w:tcPr>
            <w:tcW w:w="8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27</w:t>
            </w:r>
          </w:p>
        </w:tc>
        <w:tc>
          <w:tcPr>
            <w:tcW w:w="1249"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733</w:t>
            </w:r>
          </w:p>
        </w:tc>
      </w:tr>
      <w:tr>
        <w:tblPrEx>
          <w:tblLayout w:type="fixed"/>
          <w:tblCellMar>
            <w:top w:w="15" w:type="dxa"/>
            <w:left w:w="15" w:type="dxa"/>
            <w:bottom w:w="15" w:type="dxa"/>
            <w:right w:w="15" w:type="dxa"/>
          </w:tblCellMar>
        </w:tblPrEx>
        <w:trPr>
          <w:trHeight w:val="569" w:hRule="atLeast"/>
          <w:jc w:val="center"/>
        </w:trPr>
        <w:tc>
          <w:tcPr>
            <w:tcW w:w="730" w:type="dxa"/>
            <w:vMerge w:val="continue"/>
            <w:tcBorders>
              <w:left w:val="single" w:color="000000" w:sz="4" w:space="0"/>
              <w:right w:val="single" w:color="000000" w:sz="4" w:space="0"/>
            </w:tcBorders>
            <w:vAlign w:val="center"/>
          </w:tcPr>
          <w:p>
            <w:pPr>
              <w:adjustRightInd w:val="0"/>
              <w:jc w:val="center"/>
              <w:textAlignment w:val="center"/>
              <w:rPr>
                <w:rFonts w:ascii="仿宋" w:hAnsi="仿宋" w:eastAsia="仿宋" w:cs="仿宋_GB2312"/>
                <w:b/>
                <w:kern w:val="0"/>
                <w:sz w:val="24"/>
              </w:rPr>
            </w:pPr>
          </w:p>
        </w:tc>
        <w:tc>
          <w:tcPr>
            <w:tcW w:w="194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就业率（含升学）</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9</w:t>
            </w:r>
            <w:r>
              <w:rPr>
                <w:rFonts w:ascii="仿宋" w:hAnsi="仿宋" w:eastAsia="仿宋" w:cs="仿宋_GB2312"/>
                <w:kern w:val="0"/>
                <w:sz w:val="24"/>
              </w:rPr>
              <w:t>9.</w:t>
            </w:r>
            <w:r>
              <w:rPr>
                <w:rFonts w:hint="eastAsia" w:ascii="仿宋" w:hAnsi="仿宋" w:eastAsia="仿宋" w:cs="仿宋_GB2312"/>
                <w:kern w:val="0"/>
                <w:sz w:val="24"/>
              </w:rPr>
              <w:t>45</w:t>
            </w:r>
            <w:r>
              <w:rPr>
                <w:rFonts w:ascii="仿宋" w:hAnsi="仿宋" w:eastAsia="仿宋" w:cs="仿宋_GB2312"/>
                <w:kern w:val="0"/>
                <w:sz w:val="24"/>
              </w:rPr>
              <w:t>%</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98.</w:t>
            </w:r>
            <w:r>
              <w:rPr>
                <w:rFonts w:ascii="仿宋" w:hAnsi="仿宋" w:eastAsia="仿宋" w:cs="仿宋_GB2312"/>
                <w:kern w:val="0"/>
                <w:sz w:val="24"/>
              </w:rPr>
              <w:t>58%</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100.00%</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100.00%</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100</w:t>
            </w:r>
            <w:r>
              <w:rPr>
                <w:rFonts w:ascii="仿宋" w:hAnsi="仿宋" w:eastAsia="仿宋" w:cs="仿宋_GB2312"/>
                <w:kern w:val="0"/>
                <w:sz w:val="24"/>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100</w:t>
            </w:r>
            <w:r>
              <w:rPr>
                <w:rFonts w:ascii="仿宋" w:hAnsi="仿宋" w:eastAsia="仿宋" w:cs="仿宋_GB2312"/>
                <w:kern w:val="0"/>
                <w:sz w:val="24"/>
              </w:rPr>
              <w:t>%</w:t>
            </w:r>
          </w:p>
        </w:tc>
        <w:tc>
          <w:tcPr>
            <w:tcW w:w="1249"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99.2</w:t>
            </w:r>
            <w:r>
              <w:rPr>
                <w:rFonts w:ascii="仿宋" w:hAnsi="仿宋" w:eastAsia="仿宋" w:cs="仿宋_GB2312"/>
                <w:kern w:val="0"/>
                <w:sz w:val="24"/>
              </w:rPr>
              <w:t>7%</w:t>
            </w:r>
          </w:p>
        </w:tc>
      </w:tr>
      <w:tr>
        <w:tblPrEx>
          <w:tblLayout w:type="fixed"/>
          <w:tblCellMar>
            <w:top w:w="15" w:type="dxa"/>
            <w:left w:w="15" w:type="dxa"/>
            <w:bottom w:w="15" w:type="dxa"/>
            <w:right w:w="15" w:type="dxa"/>
          </w:tblCellMar>
        </w:tblPrEx>
        <w:trPr>
          <w:trHeight w:val="563" w:hRule="atLeast"/>
          <w:jc w:val="center"/>
        </w:trPr>
        <w:tc>
          <w:tcPr>
            <w:tcW w:w="730" w:type="dxa"/>
            <w:vMerge w:val="restart"/>
            <w:tcBorders>
              <w:top w:val="single" w:color="000000" w:sz="4" w:space="0"/>
              <w:left w:val="single" w:color="auto" w:sz="4" w:space="0"/>
              <w:right w:val="single" w:color="000000" w:sz="4" w:space="0"/>
            </w:tcBorders>
            <w:vAlign w:val="center"/>
          </w:tcPr>
          <w:p>
            <w:pPr>
              <w:adjustRightInd w:val="0"/>
              <w:jc w:val="center"/>
              <w:textAlignment w:val="center"/>
              <w:rPr>
                <w:rFonts w:ascii="仿宋" w:hAnsi="仿宋" w:eastAsia="仿宋" w:cs="仿宋_GB2312"/>
                <w:b/>
                <w:kern w:val="0"/>
                <w:sz w:val="24"/>
              </w:rPr>
            </w:pPr>
            <w:r>
              <w:rPr>
                <w:rFonts w:hint="eastAsia" w:ascii="仿宋" w:hAnsi="仿宋" w:eastAsia="仿宋" w:cs="仿宋_GB2312"/>
                <w:b/>
                <w:kern w:val="0"/>
                <w:sz w:val="24"/>
              </w:rPr>
              <w:t>2018</w:t>
            </w:r>
          </w:p>
        </w:tc>
        <w:tc>
          <w:tcPr>
            <w:tcW w:w="194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毕业生数</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650</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184</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83</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47</w:t>
            </w:r>
          </w:p>
        </w:tc>
        <w:tc>
          <w:tcPr>
            <w:tcW w:w="8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60</w:t>
            </w:r>
          </w:p>
        </w:tc>
        <w:tc>
          <w:tcPr>
            <w:tcW w:w="1249"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1024</w:t>
            </w:r>
          </w:p>
        </w:tc>
      </w:tr>
      <w:tr>
        <w:tblPrEx>
          <w:tblLayout w:type="fixed"/>
          <w:tblCellMar>
            <w:top w:w="15" w:type="dxa"/>
            <w:left w:w="15" w:type="dxa"/>
            <w:bottom w:w="15" w:type="dxa"/>
            <w:right w:w="15" w:type="dxa"/>
          </w:tblCellMar>
        </w:tblPrEx>
        <w:trPr>
          <w:trHeight w:val="563" w:hRule="atLeast"/>
          <w:jc w:val="center"/>
        </w:trPr>
        <w:tc>
          <w:tcPr>
            <w:tcW w:w="730" w:type="dxa"/>
            <w:vMerge w:val="continue"/>
            <w:tcBorders>
              <w:left w:val="single" w:color="auto" w:sz="4" w:space="0"/>
              <w:right w:val="single" w:color="000000" w:sz="4" w:space="0"/>
            </w:tcBorders>
            <w:vAlign w:val="center"/>
          </w:tcPr>
          <w:p>
            <w:pPr>
              <w:adjustRightInd w:val="0"/>
              <w:jc w:val="center"/>
              <w:textAlignment w:val="center"/>
              <w:rPr>
                <w:rFonts w:ascii="仿宋" w:hAnsi="仿宋" w:eastAsia="仿宋" w:cs="仿宋_GB2312"/>
                <w:kern w:val="0"/>
                <w:sz w:val="24"/>
              </w:rPr>
            </w:pPr>
          </w:p>
        </w:tc>
        <w:tc>
          <w:tcPr>
            <w:tcW w:w="194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直接就业</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212</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14</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29</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45</w:t>
            </w:r>
          </w:p>
        </w:tc>
        <w:tc>
          <w:tcPr>
            <w:tcW w:w="8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22</w:t>
            </w:r>
          </w:p>
        </w:tc>
        <w:tc>
          <w:tcPr>
            <w:tcW w:w="1249"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322</w:t>
            </w:r>
          </w:p>
        </w:tc>
      </w:tr>
      <w:tr>
        <w:tblPrEx>
          <w:tblLayout w:type="fixed"/>
          <w:tblCellMar>
            <w:top w:w="15" w:type="dxa"/>
            <w:left w:w="15" w:type="dxa"/>
            <w:bottom w:w="15" w:type="dxa"/>
            <w:right w:w="15" w:type="dxa"/>
          </w:tblCellMar>
        </w:tblPrEx>
        <w:trPr>
          <w:trHeight w:val="563" w:hRule="atLeast"/>
          <w:jc w:val="center"/>
        </w:trPr>
        <w:tc>
          <w:tcPr>
            <w:tcW w:w="730" w:type="dxa"/>
            <w:vMerge w:val="continue"/>
            <w:tcBorders>
              <w:left w:val="single" w:color="auto" w:sz="4" w:space="0"/>
              <w:right w:val="single" w:color="000000" w:sz="4" w:space="0"/>
            </w:tcBorders>
            <w:vAlign w:val="center"/>
          </w:tcPr>
          <w:p>
            <w:pPr>
              <w:adjustRightInd w:val="0"/>
              <w:jc w:val="center"/>
              <w:textAlignment w:val="center"/>
              <w:rPr>
                <w:rFonts w:ascii="仿宋" w:hAnsi="仿宋" w:eastAsia="仿宋" w:cs="仿宋_GB2312"/>
                <w:kern w:val="0"/>
                <w:sz w:val="24"/>
              </w:rPr>
            </w:pPr>
          </w:p>
        </w:tc>
        <w:tc>
          <w:tcPr>
            <w:tcW w:w="194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升入高校</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4</w:t>
            </w:r>
            <w:r>
              <w:rPr>
                <w:rFonts w:ascii="仿宋" w:hAnsi="仿宋" w:eastAsia="仿宋" w:cs="仿宋_GB2312"/>
                <w:kern w:val="0"/>
                <w:sz w:val="24"/>
              </w:rPr>
              <w:t>34</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168</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ascii="仿宋" w:hAnsi="仿宋" w:eastAsia="仿宋" w:cs="仿宋_GB2312"/>
                <w:kern w:val="0"/>
                <w:sz w:val="24"/>
              </w:rPr>
              <w:t>53</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2</w:t>
            </w:r>
          </w:p>
        </w:tc>
        <w:tc>
          <w:tcPr>
            <w:tcW w:w="8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38</w:t>
            </w:r>
          </w:p>
        </w:tc>
        <w:tc>
          <w:tcPr>
            <w:tcW w:w="1249"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695</w:t>
            </w:r>
          </w:p>
        </w:tc>
      </w:tr>
      <w:tr>
        <w:tblPrEx>
          <w:tblLayout w:type="fixed"/>
          <w:tblCellMar>
            <w:top w:w="15" w:type="dxa"/>
            <w:left w:w="15" w:type="dxa"/>
            <w:bottom w:w="15" w:type="dxa"/>
            <w:right w:w="15" w:type="dxa"/>
          </w:tblCellMar>
        </w:tblPrEx>
        <w:trPr>
          <w:trHeight w:val="572" w:hRule="atLeast"/>
          <w:jc w:val="center"/>
        </w:trPr>
        <w:tc>
          <w:tcPr>
            <w:tcW w:w="730" w:type="dxa"/>
            <w:vMerge w:val="continue"/>
            <w:tcBorders>
              <w:left w:val="single" w:color="auto" w:sz="4" w:space="0"/>
              <w:bottom w:val="single" w:color="auto" w:sz="4" w:space="0"/>
              <w:right w:val="single" w:color="000000" w:sz="4" w:space="0"/>
            </w:tcBorders>
            <w:vAlign w:val="center"/>
          </w:tcPr>
          <w:p>
            <w:pPr>
              <w:adjustRightInd w:val="0"/>
              <w:jc w:val="center"/>
              <w:textAlignment w:val="center"/>
              <w:rPr>
                <w:rFonts w:ascii="仿宋" w:hAnsi="仿宋" w:eastAsia="仿宋" w:cs="仿宋_GB2312"/>
                <w:kern w:val="0"/>
                <w:sz w:val="24"/>
              </w:rPr>
            </w:pPr>
          </w:p>
        </w:tc>
        <w:tc>
          <w:tcPr>
            <w:tcW w:w="1945"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就业率（含升学）</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b/>
                <w:kern w:val="0"/>
                <w:sz w:val="24"/>
              </w:rPr>
            </w:pPr>
            <w:r>
              <w:rPr>
                <w:rFonts w:hint="eastAsia" w:ascii="仿宋" w:hAnsi="仿宋" w:eastAsia="仿宋" w:cs="仿宋_GB2312"/>
                <w:kern w:val="0"/>
                <w:sz w:val="24"/>
              </w:rPr>
              <w:t>9</w:t>
            </w:r>
            <w:r>
              <w:rPr>
                <w:rFonts w:ascii="仿宋" w:hAnsi="仿宋" w:eastAsia="仿宋" w:cs="仿宋_GB2312"/>
                <w:kern w:val="0"/>
                <w:sz w:val="24"/>
              </w:rPr>
              <w:t>9.38%</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b/>
                <w:kern w:val="0"/>
                <w:sz w:val="24"/>
              </w:rPr>
            </w:pPr>
            <w:r>
              <w:rPr>
                <w:rFonts w:hint="eastAsia" w:ascii="仿宋" w:hAnsi="仿宋" w:eastAsia="仿宋" w:cs="仿宋_GB2312"/>
                <w:kern w:val="0"/>
                <w:sz w:val="24"/>
              </w:rPr>
              <w:t>98.91</w:t>
            </w:r>
            <w:r>
              <w:rPr>
                <w:rFonts w:ascii="仿宋" w:hAnsi="仿宋" w:eastAsia="仿宋" w:cs="仿宋_GB2312"/>
                <w:kern w:val="0"/>
                <w:sz w:val="24"/>
              </w:rPr>
              <w:t>%</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kern w:val="0"/>
                <w:sz w:val="24"/>
              </w:rPr>
            </w:pPr>
            <w:r>
              <w:rPr>
                <w:rFonts w:hint="eastAsia" w:ascii="仿宋" w:hAnsi="仿宋" w:eastAsia="仿宋" w:cs="仿宋_GB2312"/>
                <w:kern w:val="0"/>
                <w:sz w:val="24"/>
              </w:rPr>
              <w:t>-</w:t>
            </w:r>
          </w:p>
        </w:tc>
        <w:tc>
          <w:tcPr>
            <w:tcW w:w="97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b/>
                <w:kern w:val="0"/>
                <w:sz w:val="24"/>
              </w:rPr>
            </w:pPr>
            <w:r>
              <w:rPr>
                <w:rFonts w:ascii="仿宋" w:hAnsi="仿宋" w:eastAsia="仿宋" w:cs="仿宋_GB2312"/>
                <w:kern w:val="0"/>
                <w:sz w:val="24"/>
              </w:rPr>
              <w:t>98.80%</w:t>
            </w:r>
          </w:p>
        </w:tc>
        <w:tc>
          <w:tcPr>
            <w:tcW w:w="972"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b/>
                <w:kern w:val="0"/>
                <w:sz w:val="24"/>
              </w:rPr>
            </w:pPr>
            <w:r>
              <w:rPr>
                <w:rFonts w:hint="eastAsia" w:ascii="仿宋" w:hAnsi="仿宋" w:eastAsia="仿宋" w:cs="仿宋_GB2312"/>
                <w:kern w:val="0"/>
                <w:sz w:val="24"/>
              </w:rPr>
              <w:t>100</w:t>
            </w:r>
            <w:r>
              <w:rPr>
                <w:rFonts w:ascii="仿宋" w:hAnsi="仿宋" w:eastAsia="仿宋" w:cs="仿宋_GB2312"/>
                <w:kern w:val="0"/>
                <w:sz w:val="24"/>
              </w:rPr>
              <w:t>%</w:t>
            </w:r>
          </w:p>
        </w:tc>
        <w:tc>
          <w:tcPr>
            <w:tcW w:w="834"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b/>
                <w:kern w:val="0"/>
                <w:sz w:val="24"/>
              </w:rPr>
            </w:pPr>
            <w:r>
              <w:rPr>
                <w:rFonts w:hint="eastAsia" w:ascii="仿宋" w:hAnsi="仿宋" w:eastAsia="仿宋" w:cs="仿宋_GB2312"/>
                <w:kern w:val="0"/>
                <w:sz w:val="24"/>
              </w:rPr>
              <w:t>100</w:t>
            </w:r>
            <w:r>
              <w:rPr>
                <w:rFonts w:ascii="仿宋" w:hAnsi="仿宋" w:eastAsia="仿宋" w:cs="仿宋_GB2312"/>
                <w:kern w:val="0"/>
                <w:sz w:val="24"/>
              </w:rPr>
              <w:t>%</w:t>
            </w:r>
          </w:p>
        </w:tc>
        <w:tc>
          <w:tcPr>
            <w:tcW w:w="1249"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center"/>
              <w:rPr>
                <w:rFonts w:ascii="仿宋" w:hAnsi="仿宋" w:eastAsia="仿宋" w:cs="仿宋_GB2312"/>
                <w:b/>
                <w:kern w:val="0"/>
                <w:sz w:val="24"/>
              </w:rPr>
            </w:pPr>
            <w:r>
              <w:rPr>
                <w:rFonts w:hint="eastAsia" w:ascii="仿宋" w:hAnsi="仿宋" w:eastAsia="仿宋" w:cs="仿宋_GB2312"/>
                <w:kern w:val="0"/>
                <w:sz w:val="24"/>
              </w:rPr>
              <w:t>99.</w:t>
            </w:r>
            <w:r>
              <w:rPr>
                <w:rFonts w:ascii="仿宋" w:hAnsi="仿宋" w:eastAsia="仿宋" w:cs="仿宋_GB2312"/>
                <w:kern w:val="0"/>
                <w:sz w:val="24"/>
              </w:rPr>
              <w:t>32%</w:t>
            </w:r>
          </w:p>
        </w:tc>
      </w:tr>
      <w:bookmarkEnd w:id="15"/>
    </w:tbl>
    <w:p>
      <w:pPr>
        <w:pStyle w:val="3"/>
        <w:keepNext w:val="0"/>
        <w:keepLines w:val="0"/>
        <w:adjustRightInd w:val="0"/>
        <w:spacing w:before="156" w:beforeLines="50" w:line="360" w:lineRule="auto"/>
        <w:ind w:firstLine="700" w:firstLineChars="250"/>
        <w:rPr>
          <w:b w:val="0"/>
          <w:sz w:val="28"/>
          <w:szCs w:val="28"/>
        </w:rPr>
      </w:pPr>
      <w:r>
        <w:rPr>
          <w:rFonts w:hint="eastAsia"/>
          <w:b w:val="0"/>
          <w:sz w:val="28"/>
          <w:szCs w:val="28"/>
        </w:rPr>
        <w:t>2.5职业发展</w:t>
      </w:r>
    </w:p>
    <w:p>
      <w:pPr>
        <w:spacing w:line="360" w:lineRule="auto"/>
        <w:ind w:firstLine="480" w:firstLineChars="200"/>
        <w:outlineLvl w:val="0"/>
        <w:rPr>
          <w:rFonts w:ascii="宋体" w:hAnsi="宋体"/>
          <w:sz w:val="24"/>
        </w:rPr>
      </w:pPr>
      <w:r>
        <w:rPr>
          <w:rFonts w:hint="eastAsia" w:ascii="宋体" w:hAnsi="宋体"/>
          <w:sz w:val="24"/>
        </w:rPr>
        <w:t>学校毕业生职业发展路径呈现出多样化，就业、升学、创业均有分布。其中以升学人数最多。不同职业发展类型毕业生的职业满意度均比较高，受雇就业毕业生对工作</w:t>
      </w:r>
      <w:r>
        <w:rPr>
          <w:rFonts w:hint="eastAsia" w:ascii="宋体" w:hAnsi="宋体"/>
          <w:color w:val="000000" w:themeColor="text1"/>
          <w:sz w:val="24"/>
          <w14:textFill>
            <w14:solidFill>
              <w14:schemeClr w14:val="tx1"/>
            </w14:solidFill>
          </w14:textFill>
        </w:rPr>
        <w:t>的满意度达9</w:t>
      </w:r>
      <w:r>
        <w:rPr>
          <w:rFonts w:ascii="宋体" w:hAnsi="宋体"/>
          <w:color w:val="000000" w:themeColor="text1"/>
          <w:sz w:val="24"/>
          <w14:textFill>
            <w14:solidFill>
              <w14:schemeClr w14:val="tx1"/>
            </w14:solidFill>
          </w14:textFill>
        </w:rPr>
        <w:t>9.1</w:t>
      </w:r>
      <w:r>
        <w:rPr>
          <w:rFonts w:hint="eastAsia" w:ascii="宋体" w:hAnsi="宋体"/>
          <w:color w:val="000000" w:themeColor="text1"/>
          <w:sz w:val="24"/>
          <w14:textFill>
            <w14:solidFill>
              <w14:schemeClr w14:val="tx1"/>
            </w14:solidFill>
          </w14:textFill>
        </w:rPr>
        <w:t>%。</w:t>
      </w:r>
    </w:p>
    <w:p>
      <w:pPr>
        <w:spacing w:line="360" w:lineRule="auto"/>
        <w:ind w:firstLine="480" w:firstLineChars="200"/>
        <w:outlineLvl w:val="0"/>
        <w:rPr>
          <w:rFonts w:ascii="宋体" w:hAnsi="宋体"/>
          <w:sz w:val="24"/>
        </w:rPr>
      </w:pPr>
      <w:r>
        <w:rPr>
          <w:rFonts w:hint="eastAsia" w:ascii="宋体" w:hAnsi="宋体"/>
          <w:sz w:val="24"/>
        </w:rPr>
        <w:t>学校中职毕业生升学途径多样化，包括单考单招和五年一贯制，还有一部分的成人高考和自学考试。升入高校学生综合素养好，专业技能扎实，受到杭州医学院、金华职业技术学院、宁波卫生职业技术学院、</w:t>
      </w:r>
      <w:r>
        <w:rPr>
          <w:rFonts w:hint="eastAsia" w:ascii="宋体" w:hAnsi="宋体"/>
          <w:color w:val="000000" w:themeColor="text1"/>
          <w:sz w:val="24"/>
          <w14:textFill>
            <w14:solidFill>
              <w14:schemeClr w14:val="tx1"/>
            </w14:solidFill>
          </w14:textFill>
        </w:rPr>
        <w:t>衢州职业技术学院</w:t>
      </w:r>
      <w:r>
        <w:rPr>
          <w:rFonts w:hint="eastAsia" w:ascii="宋体" w:hAnsi="宋体"/>
          <w:sz w:val="24"/>
        </w:rPr>
        <w:t>等高校的好评。</w:t>
      </w:r>
    </w:p>
    <w:p>
      <w:pPr>
        <w:spacing w:line="360" w:lineRule="auto"/>
        <w:ind w:firstLine="480" w:firstLineChars="200"/>
        <w:outlineLvl w:val="0"/>
        <w:rPr>
          <w:rFonts w:ascii="宋体" w:hAnsi="宋体"/>
          <w:sz w:val="24"/>
        </w:rPr>
      </w:pPr>
      <w:r>
        <w:rPr>
          <w:rFonts w:hint="eastAsia" w:ascii="宋体" w:hAnsi="宋体"/>
          <w:sz w:val="24"/>
        </w:rPr>
        <w:t>由我校升入高职院校学生中，发展状况良好</w:t>
      </w:r>
      <w:r>
        <w:rPr>
          <w:rFonts w:hint="eastAsia" w:ascii="宋体" w:hAnsi="宋体"/>
          <w:color w:val="000000" w:themeColor="text1"/>
          <w:sz w:val="24"/>
          <w14:textFill>
            <w14:solidFill>
              <w14:schemeClr w14:val="tx1"/>
            </w14:solidFill>
          </w14:textFill>
        </w:rPr>
        <w:t>，以衢州职业技术学院为例，201</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年度共有1</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名学生获学院高等级奖学金，其中国家励志奖学金</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人、浙江省政府奖学金</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人。另台州职业技术学院，201</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年度</w:t>
      </w:r>
      <w:r>
        <w:rPr>
          <w:rFonts w:hint="eastAsia" w:ascii="宋体" w:hAnsi="宋体"/>
          <w:sz w:val="24"/>
        </w:rPr>
        <w:t>共有</w:t>
      </w:r>
      <w:r>
        <w:rPr>
          <w:rFonts w:ascii="宋体" w:hAnsi="宋体"/>
          <w:sz w:val="24"/>
        </w:rPr>
        <w:t>4</w:t>
      </w:r>
      <w:r>
        <w:rPr>
          <w:rFonts w:hint="eastAsia" w:ascii="宋体" w:hAnsi="宋体"/>
          <w:sz w:val="24"/>
        </w:rPr>
        <w:t>名学生获学院高等级荣誉，其中国家励志奖学金</w:t>
      </w:r>
      <w:r>
        <w:rPr>
          <w:rFonts w:ascii="宋体" w:hAnsi="宋体"/>
          <w:sz w:val="24"/>
        </w:rPr>
        <w:t>1</w:t>
      </w:r>
      <w:r>
        <w:rPr>
          <w:rFonts w:hint="eastAsia" w:ascii="宋体" w:hAnsi="宋体"/>
          <w:sz w:val="24"/>
        </w:rPr>
        <w:t>人、获得浙江省普通高等学校</w:t>
      </w:r>
      <w:r>
        <w:rPr>
          <w:rFonts w:ascii="宋体" w:hAnsi="宋体"/>
          <w:sz w:val="24"/>
        </w:rPr>
        <w:t>优秀毕业生</w:t>
      </w:r>
      <w:r>
        <w:rPr>
          <w:rFonts w:hint="eastAsia" w:ascii="宋体" w:hAnsi="宋体"/>
          <w:sz w:val="24"/>
        </w:rPr>
        <w:t>2人</w:t>
      </w:r>
      <w:r>
        <w:rPr>
          <w:rFonts w:ascii="宋体" w:hAnsi="宋体"/>
          <w:sz w:val="24"/>
        </w:rPr>
        <w:t>，</w:t>
      </w:r>
      <w:r>
        <w:rPr>
          <w:rFonts w:hint="eastAsia" w:ascii="宋体" w:hAnsi="宋体"/>
          <w:sz w:val="24"/>
        </w:rPr>
        <w:t>获得台州职业技术学院</w:t>
      </w:r>
      <w:r>
        <w:rPr>
          <w:rFonts w:ascii="宋体" w:hAnsi="宋体"/>
          <w:sz w:val="24"/>
        </w:rPr>
        <w:t>优秀毕业生1</w:t>
      </w:r>
      <w:r>
        <w:rPr>
          <w:rFonts w:hint="eastAsia" w:ascii="宋体" w:hAnsi="宋体"/>
          <w:sz w:val="24"/>
        </w:rPr>
        <w:t>人。获奖指标反映了海宁卫生学校学生的可持续发展潜力。</w:t>
      </w:r>
    </w:p>
    <w:p>
      <w:pPr>
        <w:spacing w:line="360" w:lineRule="auto"/>
        <w:ind w:firstLine="480" w:firstLineChars="200"/>
        <w:outlineLvl w:val="0"/>
        <w:rPr>
          <w:rFonts w:ascii="宋体" w:hAnsi="宋体"/>
          <w:sz w:val="24"/>
        </w:rPr>
      </w:pPr>
      <w:r>
        <w:rPr>
          <w:rFonts w:hint="eastAsia" w:ascii="宋体" w:hAnsi="宋体"/>
          <w:sz w:val="24"/>
        </w:rPr>
        <w:t>我校毕业学生就业前景广阔，据学校201</w:t>
      </w:r>
      <w:r>
        <w:rPr>
          <w:rFonts w:ascii="宋体" w:hAnsi="宋体"/>
          <w:sz w:val="24"/>
        </w:rPr>
        <w:t>9</w:t>
      </w:r>
      <w:r>
        <w:rPr>
          <w:rFonts w:hint="eastAsia" w:ascii="宋体" w:hAnsi="宋体"/>
          <w:sz w:val="24"/>
        </w:rPr>
        <w:t>年</w:t>
      </w:r>
      <w:r>
        <w:rPr>
          <w:rFonts w:ascii="宋体" w:hAnsi="宋体"/>
          <w:sz w:val="24"/>
        </w:rPr>
        <w:t>4</w:t>
      </w:r>
      <w:r>
        <w:rPr>
          <w:rFonts w:hint="eastAsia" w:ascii="宋体" w:hAnsi="宋体"/>
          <w:sz w:val="24"/>
        </w:rPr>
        <w:t>月专场招聘会统计，1</w:t>
      </w:r>
      <w:r>
        <w:rPr>
          <w:rFonts w:ascii="宋体" w:hAnsi="宋体"/>
          <w:sz w:val="24"/>
        </w:rPr>
        <w:t>6</w:t>
      </w:r>
      <w:r>
        <w:rPr>
          <w:rFonts w:hint="eastAsia" w:ascii="宋体" w:hAnsi="宋体"/>
          <w:sz w:val="24"/>
        </w:rPr>
        <w:t>级毕业生用人单位提供的招聘岗位数与学生实际就业人数比为</w:t>
      </w:r>
      <w:r>
        <w:rPr>
          <w:rFonts w:ascii="宋体" w:hAnsi="宋体"/>
          <w:sz w:val="24"/>
        </w:rPr>
        <w:t>3</w:t>
      </w:r>
      <w:r>
        <w:rPr>
          <w:rFonts w:hint="eastAsia" w:ascii="宋体" w:hAnsi="宋体"/>
          <w:sz w:val="24"/>
        </w:rPr>
        <w:t>：1，出现毕业生供不应求的良好局面。目前工作所处行业分布较为广泛，其中人数最多的为医疗服务及健康服务业。受雇就业的毕业生中，在民营/私营企业工作的人数较多。毕业生对职业前景充满信心，表现出良好的职业发展适应性。受雇就业毕业生中，</w:t>
      </w:r>
      <w:r>
        <w:rPr>
          <w:rFonts w:ascii="宋体" w:hAnsi="宋体"/>
          <w:sz w:val="24"/>
        </w:rPr>
        <w:t>92.19</w:t>
      </w:r>
      <w:r>
        <w:rPr>
          <w:rFonts w:hint="eastAsia" w:ascii="宋体" w:hAnsi="宋体"/>
          <w:sz w:val="24"/>
        </w:rPr>
        <w:t>%的</w:t>
      </w:r>
      <w:r>
        <w:rPr>
          <w:rFonts w:ascii="宋体" w:hAnsi="宋体"/>
          <w:sz w:val="24"/>
        </w:rPr>
        <w:t>毕业生</w:t>
      </w:r>
      <w:r>
        <w:rPr>
          <w:rFonts w:hint="eastAsia" w:ascii="宋体" w:hAnsi="宋体"/>
          <w:sz w:val="24"/>
        </w:rPr>
        <w:t>就业</w:t>
      </w:r>
      <w:r>
        <w:rPr>
          <w:rFonts w:ascii="宋体" w:hAnsi="宋体"/>
          <w:sz w:val="24"/>
        </w:rPr>
        <w:t>工作岗位与所学专业对口</w:t>
      </w:r>
      <w:r>
        <w:rPr>
          <w:rFonts w:hint="eastAsia" w:ascii="宋体" w:hAnsi="宋体"/>
          <w:sz w:val="24"/>
        </w:rPr>
        <w:t>，</w:t>
      </w:r>
      <w:r>
        <w:rPr>
          <w:rFonts w:ascii="宋体" w:hAnsi="宋体"/>
          <w:sz w:val="24"/>
        </w:rPr>
        <w:t>29.37%的毕业生在工作中表现突出</w:t>
      </w:r>
      <w:r>
        <w:rPr>
          <w:rFonts w:hint="eastAsia" w:ascii="宋体" w:hAnsi="宋体"/>
          <w:sz w:val="24"/>
        </w:rPr>
        <w:t>，认为完全能够胜任或能够胜任工作的占</w:t>
      </w:r>
      <w:r>
        <w:rPr>
          <w:rFonts w:ascii="宋体" w:hAnsi="宋体"/>
          <w:sz w:val="24"/>
        </w:rPr>
        <w:t>99.26</w:t>
      </w:r>
      <w:r>
        <w:rPr>
          <w:rFonts w:hint="eastAsia" w:ascii="宋体" w:hAnsi="宋体"/>
          <w:sz w:val="24"/>
        </w:rPr>
        <w:t>%。</w:t>
      </w:r>
    </w:p>
    <w:p>
      <w:pPr>
        <w:widowControl/>
        <w:snapToGrid w:val="0"/>
        <w:spacing w:line="360" w:lineRule="auto"/>
        <w:ind w:firstLine="450" w:firstLineChars="150"/>
        <w:rPr>
          <w:rFonts w:ascii="黑体" w:hAnsi="黑体" w:eastAsia="黑体" w:cs="黑体"/>
          <w:sz w:val="30"/>
          <w:szCs w:val="30"/>
        </w:rPr>
      </w:pPr>
      <w:r>
        <w:rPr>
          <w:rFonts w:hint="eastAsia" w:ascii="黑体" w:hAnsi="黑体" w:eastAsia="黑体" w:cs="黑体"/>
          <w:sz w:val="30"/>
          <w:szCs w:val="30"/>
        </w:rPr>
        <w:t>3.质量保障措施</w:t>
      </w:r>
      <w:bookmarkEnd w:id="16"/>
      <w:bookmarkEnd w:id="17"/>
      <w:bookmarkStart w:id="18" w:name="_Toc471905917"/>
      <w:bookmarkStart w:id="19" w:name="_Toc11187"/>
    </w:p>
    <w:p>
      <w:pPr>
        <w:widowControl/>
        <w:snapToGrid w:val="0"/>
        <w:spacing w:line="360" w:lineRule="auto"/>
        <w:ind w:firstLine="422" w:firstLineChars="150"/>
        <w:rPr>
          <w:rFonts w:cs="宋体" w:asciiTheme="minorEastAsia" w:hAnsiTheme="minorEastAsia" w:eastAsiaTheme="minorEastAsia"/>
          <w:sz w:val="24"/>
          <w:u w:val="single"/>
        </w:rPr>
      </w:pPr>
      <w:r>
        <w:rPr>
          <w:rFonts w:hint="eastAsia"/>
          <w:b/>
          <w:sz w:val="28"/>
          <w:szCs w:val="28"/>
        </w:rPr>
        <w:t>3.1专业动态调整</w:t>
      </w:r>
      <w:bookmarkEnd w:id="18"/>
      <w:bookmarkEnd w:id="19"/>
    </w:p>
    <w:p>
      <w:pPr>
        <w:spacing w:line="360" w:lineRule="auto"/>
        <w:ind w:firstLine="480" w:firstLineChars="200"/>
        <w:outlineLvl w:val="0"/>
        <w:rPr>
          <w:rFonts w:ascii="宋体" w:hAnsi="宋体"/>
          <w:sz w:val="24"/>
        </w:rPr>
      </w:pPr>
      <w:bookmarkStart w:id="20" w:name="_Toc471905441"/>
      <w:bookmarkStart w:id="21" w:name="_Toc471905918"/>
      <w:bookmarkStart w:id="22" w:name="_Toc22105"/>
      <w:bookmarkStart w:id="23" w:name="_Toc471905919"/>
      <w:bookmarkStart w:id="24" w:name="_Toc9731"/>
      <w:r>
        <w:rPr>
          <w:rFonts w:hint="eastAsia" w:ascii="宋体" w:hAnsi="宋体"/>
          <w:sz w:val="24"/>
        </w:rPr>
        <w:t>学校紧紧围绕“健康中国”国家战略，根据省医药卫生事业和健康产业发展对中等卫生类技能型人才的需求，依据国家中等职业学校专业设置标准，制定并严格执行《学校专业建设管理办法》等制度，科学指导专业发展规划，合理规划和设置专业，形成了医技类和药学类两个特色办学专业群，开设专业共</w:t>
      </w:r>
      <w:r>
        <w:rPr>
          <w:rFonts w:ascii="宋体" w:hAnsi="宋体"/>
          <w:sz w:val="24"/>
        </w:rPr>
        <w:t>6</w:t>
      </w:r>
      <w:r>
        <w:rPr>
          <w:rFonts w:hint="eastAsia" w:ascii="宋体" w:hAnsi="宋体"/>
          <w:sz w:val="24"/>
        </w:rPr>
        <w:t>个，有护理、助产、药剂、中药、医学检验技术、医学影像技术。除三年制普通中专和五年一贯制培养外，与嘉兴学院开展护</w:t>
      </w:r>
      <w:r>
        <w:rPr>
          <w:rFonts w:ascii="宋体" w:hAnsi="宋体"/>
          <w:sz w:val="24"/>
        </w:rPr>
        <w:t>理专业</w:t>
      </w:r>
      <w:r>
        <w:rPr>
          <w:rFonts w:hint="eastAsia" w:ascii="宋体" w:hAnsi="宋体"/>
          <w:sz w:val="24"/>
        </w:rPr>
        <w:t>“中本</w:t>
      </w:r>
      <w:r>
        <w:rPr>
          <w:rFonts w:ascii="宋体" w:hAnsi="宋体"/>
          <w:sz w:val="24"/>
        </w:rPr>
        <w:t>一体化</w:t>
      </w:r>
      <w:r>
        <w:rPr>
          <w:rFonts w:hint="eastAsia" w:ascii="宋体" w:hAnsi="宋体"/>
          <w:sz w:val="24"/>
        </w:rPr>
        <w:t>”培养试点，1</w:t>
      </w:r>
      <w:r>
        <w:rPr>
          <w:rFonts w:ascii="宋体" w:hAnsi="宋体"/>
          <w:sz w:val="24"/>
        </w:rPr>
        <w:t>8</w:t>
      </w:r>
      <w:r>
        <w:rPr>
          <w:rFonts w:hint="eastAsia" w:ascii="宋体" w:hAnsi="宋体"/>
          <w:sz w:val="24"/>
        </w:rPr>
        <w:t>届招生学生39名，19届招</w:t>
      </w:r>
      <w:r>
        <w:rPr>
          <w:rFonts w:ascii="宋体" w:hAnsi="宋体"/>
          <w:sz w:val="24"/>
        </w:rPr>
        <w:t>生学生</w:t>
      </w:r>
      <w:r>
        <w:rPr>
          <w:rFonts w:hint="eastAsia" w:ascii="宋体" w:hAnsi="宋体"/>
          <w:sz w:val="24"/>
        </w:rPr>
        <w:t>40名；另与省</w:t>
      </w:r>
      <w:r>
        <w:rPr>
          <w:rFonts w:ascii="宋体" w:hAnsi="宋体"/>
          <w:sz w:val="24"/>
        </w:rPr>
        <w:t>内7</w:t>
      </w:r>
      <w:r>
        <w:rPr>
          <w:rFonts w:hint="eastAsia" w:ascii="宋体" w:hAnsi="宋体"/>
          <w:sz w:val="24"/>
        </w:rPr>
        <w:t>所高职院校合作开设中高</w:t>
      </w:r>
      <w:r>
        <w:rPr>
          <w:rFonts w:ascii="宋体" w:hAnsi="宋体"/>
          <w:sz w:val="24"/>
        </w:rPr>
        <w:t>职一体</w:t>
      </w:r>
      <w:r>
        <w:rPr>
          <w:rFonts w:hint="eastAsia" w:ascii="宋体" w:hAnsi="宋体"/>
          <w:sz w:val="24"/>
        </w:rPr>
        <w:t>化培养模式，合作培养的专业有护理、护理（老年、母婴方向）、助产、中药、药学、医学检验技术。</w:t>
      </w:r>
      <w:bookmarkEnd w:id="20"/>
      <w:bookmarkEnd w:id="21"/>
    </w:p>
    <w:p>
      <w:pPr>
        <w:spacing w:line="360" w:lineRule="auto"/>
        <w:ind w:firstLine="562" w:firstLineChars="200"/>
        <w:outlineLvl w:val="0"/>
        <w:rPr>
          <w:rFonts w:ascii="宋体"/>
          <w:sz w:val="24"/>
        </w:rPr>
      </w:pPr>
      <w:r>
        <w:rPr>
          <w:b/>
          <w:sz w:val="28"/>
          <w:szCs w:val="28"/>
        </w:rPr>
        <w:t>3.</w:t>
      </w:r>
      <w:r>
        <w:rPr>
          <w:rFonts w:hint="eastAsia"/>
          <w:b/>
          <w:sz w:val="28"/>
          <w:szCs w:val="28"/>
        </w:rPr>
        <w:t>2教育教学改革</w:t>
      </w:r>
      <w:bookmarkEnd w:id="22"/>
      <w:bookmarkEnd w:id="23"/>
    </w:p>
    <w:p>
      <w:pPr>
        <w:snapToGrid w:val="0"/>
        <w:spacing w:line="360" w:lineRule="auto"/>
        <w:ind w:firstLine="482"/>
        <w:rPr>
          <w:rFonts w:ascii="宋体"/>
          <w:sz w:val="24"/>
        </w:rPr>
      </w:pPr>
      <w:bookmarkStart w:id="25" w:name="_Toc471905920"/>
      <w:r>
        <w:rPr>
          <w:rFonts w:hint="eastAsia" w:ascii="宋体" w:hAnsi="宋体"/>
          <w:sz w:val="24"/>
        </w:rPr>
        <w:t>学校认真贯彻省中职“选择性”课改精神，积极开展“选择性”课改实践，制定了《海宁卫生学校“大类融通、多次选择”的选择性课改方案》及相关配套制度。</w:t>
      </w:r>
      <w:r>
        <w:rPr>
          <w:rFonts w:ascii="宋体" w:hAnsi="宋体"/>
          <w:sz w:val="24"/>
        </w:rPr>
        <w:t>2019</w:t>
      </w:r>
      <w:r>
        <w:rPr>
          <w:rFonts w:hint="eastAsia" w:ascii="宋体" w:hAnsi="宋体"/>
          <w:sz w:val="24"/>
        </w:rPr>
        <w:t>年教学改革持续</w:t>
      </w:r>
      <w:r>
        <w:rPr>
          <w:rFonts w:ascii="宋体" w:hAnsi="宋体"/>
          <w:sz w:val="24"/>
        </w:rPr>
        <w:t>稳步</w:t>
      </w:r>
      <w:r>
        <w:rPr>
          <w:rFonts w:hint="eastAsia" w:ascii="宋体" w:hAnsi="宋体"/>
          <w:sz w:val="24"/>
        </w:rPr>
        <w:t>推进</w:t>
      </w:r>
      <w:r>
        <w:rPr>
          <w:rFonts w:ascii="宋体" w:hAnsi="宋体"/>
          <w:sz w:val="24"/>
        </w:rPr>
        <w:t>，</w:t>
      </w:r>
      <w:r>
        <w:rPr>
          <w:rFonts w:hint="eastAsia" w:ascii="宋体" w:hAnsi="宋体"/>
          <w:sz w:val="24"/>
        </w:rPr>
        <w:t>覆盖全部六个专业，继续分阶段实施专业选择、方向选择、课程选择的多次选择机制，学生课改参与率达到</w:t>
      </w:r>
      <w:r>
        <w:rPr>
          <w:rFonts w:ascii="宋体" w:hAnsi="宋体"/>
          <w:sz w:val="24"/>
        </w:rPr>
        <w:t>100%</w:t>
      </w:r>
      <w:r>
        <w:rPr>
          <w:rFonts w:hint="eastAsia" w:ascii="宋体" w:hAnsi="宋体"/>
          <w:sz w:val="24"/>
        </w:rPr>
        <w:t>，在</w:t>
      </w:r>
      <w:r>
        <w:rPr>
          <w:rFonts w:ascii="宋体" w:hAnsi="宋体"/>
          <w:sz w:val="24"/>
        </w:rPr>
        <w:t>2019</w:t>
      </w:r>
      <w:r>
        <w:rPr>
          <w:rFonts w:hint="eastAsia" w:ascii="宋体" w:hAnsi="宋体"/>
          <w:sz w:val="24"/>
        </w:rPr>
        <w:t>级三年制中专继续实行大类招生，一学期专业体验后再选择专业。</w:t>
      </w:r>
      <w:bookmarkStart w:id="26" w:name="_Toc467049598"/>
      <w:r>
        <w:rPr>
          <w:rFonts w:hint="eastAsia" w:ascii="宋体" w:hAnsi="宋体"/>
          <w:sz w:val="24"/>
        </w:rPr>
        <w:t>201</w:t>
      </w:r>
      <w:r>
        <w:rPr>
          <w:rFonts w:ascii="宋体" w:hAnsi="宋体"/>
          <w:sz w:val="24"/>
        </w:rPr>
        <w:t>9</w:t>
      </w:r>
      <w:r>
        <w:rPr>
          <w:rFonts w:hint="eastAsia" w:ascii="宋体" w:hAnsi="宋体"/>
          <w:sz w:val="24"/>
        </w:rPr>
        <w:t>年</w:t>
      </w:r>
      <w:r>
        <w:rPr>
          <w:rFonts w:ascii="宋体" w:hAnsi="宋体"/>
          <w:sz w:val="24"/>
        </w:rPr>
        <w:t>12</w:t>
      </w:r>
      <w:r>
        <w:rPr>
          <w:rFonts w:hint="eastAsia" w:ascii="宋体" w:hAnsi="宋体"/>
          <w:sz w:val="24"/>
        </w:rPr>
        <w:t>月</w:t>
      </w:r>
      <w:r>
        <w:rPr>
          <w:rFonts w:ascii="宋体" w:hAnsi="宋体"/>
          <w:sz w:val="24"/>
        </w:rPr>
        <w:t>与</w:t>
      </w:r>
      <w:r>
        <w:rPr>
          <w:rFonts w:hint="eastAsia" w:ascii="宋体" w:hAnsi="宋体"/>
          <w:sz w:val="24"/>
        </w:rPr>
        <w:t>嘉兴学院开展护</w:t>
      </w:r>
      <w:r>
        <w:rPr>
          <w:rFonts w:ascii="宋体" w:hAnsi="宋体"/>
          <w:sz w:val="24"/>
        </w:rPr>
        <w:t>理专业</w:t>
      </w:r>
      <w:r>
        <w:rPr>
          <w:rFonts w:hint="eastAsia" w:ascii="宋体" w:hAnsi="宋体"/>
          <w:sz w:val="24"/>
        </w:rPr>
        <w:t>“中本</w:t>
      </w:r>
      <w:r>
        <w:rPr>
          <w:rFonts w:ascii="宋体" w:hAnsi="宋体"/>
          <w:sz w:val="24"/>
        </w:rPr>
        <w:t>一体化</w:t>
      </w:r>
      <w:r>
        <w:rPr>
          <w:rFonts w:hint="eastAsia" w:ascii="宋体" w:hAnsi="宋体"/>
          <w:sz w:val="24"/>
        </w:rPr>
        <w:t>”人</w:t>
      </w:r>
      <w:r>
        <w:rPr>
          <w:rFonts w:ascii="宋体" w:hAnsi="宋体"/>
          <w:sz w:val="24"/>
        </w:rPr>
        <w:t>才培养研讨</w:t>
      </w:r>
      <w:r>
        <w:rPr>
          <w:rFonts w:hint="eastAsia" w:ascii="宋体" w:hAnsi="宋体"/>
          <w:sz w:val="24"/>
        </w:rPr>
        <w:t>，完善了护</w:t>
      </w:r>
      <w:r>
        <w:rPr>
          <w:rFonts w:ascii="宋体" w:hAnsi="宋体"/>
          <w:sz w:val="24"/>
        </w:rPr>
        <w:t>理专业“</w:t>
      </w:r>
      <w:r>
        <w:rPr>
          <w:rFonts w:hint="eastAsia" w:ascii="宋体" w:hAnsi="宋体"/>
          <w:sz w:val="24"/>
        </w:rPr>
        <w:t>中本一体化</w:t>
      </w:r>
      <w:r>
        <w:rPr>
          <w:rFonts w:ascii="宋体" w:hAnsi="宋体"/>
          <w:sz w:val="24"/>
        </w:rPr>
        <w:t>”</w:t>
      </w:r>
      <w:r>
        <w:rPr>
          <w:rFonts w:hint="eastAsia" w:ascii="宋体" w:hAnsi="宋体"/>
          <w:sz w:val="24"/>
        </w:rPr>
        <w:t>人才培养方案。</w:t>
      </w:r>
      <w:r>
        <w:rPr>
          <w:rFonts w:ascii="宋体" w:hAnsi="宋体"/>
          <w:sz w:val="24"/>
        </w:rPr>
        <w:t>2019</w:t>
      </w:r>
      <w:r>
        <w:rPr>
          <w:rFonts w:hint="eastAsia" w:ascii="宋体" w:hAnsi="宋体"/>
          <w:sz w:val="24"/>
        </w:rPr>
        <w:t>年</w:t>
      </w:r>
      <w:r>
        <w:rPr>
          <w:rFonts w:ascii="宋体" w:hAnsi="宋体"/>
          <w:sz w:val="24"/>
        </w:rPr>
        <w:t>9</w:t>
      </w:r>
      <w:r>
        <w:rPr>
          <w:rFonts w:hint="eastAsia" w:ascii="宋体" w:hAnsi="宋体"/>
          <w:sz w:val="24"/>
        </w:rPr>
        <w:t>月，学校和杭州口腔医院海宁分院采取现代学徒制的模式培养护理专业口腔方向的技能型人才</w:t>
      </w:r>
      <w:r>
        <w:rPr>
          <w:rFonts w:ascii="宋体"/>
          <w:sz w:val="24"/>
        </w:rPr>
        <w:t>,</w:t>
      </w:r>
      <w:r>
        <w:rPr>
          <w:rFonts w:hint="eastAsia" w:ascii="宋体" w:hAnsi="宋体"/>
          <w:sz w:val="24"/>
        </w:rPr>
        <w:t>学生</w:t>
      </w:r>
      <w:r>
        <w:rPr>
          <w:rFonts w:ascii="宋体" w:hAnsi="宋体"/>
          <w:sz w:val="24"/>
        </w:rPr>
        <w:t>18</w:t>
      </w:r>
      <w:r>
        <w:rPr>
          <w:rFonts w:hint="eastAsia" w:ascii="宋体" w:hAnsi="宋体"/>
          <w:sz w:val="24"/>
        </w:rPr>
        <w:t>人，三届共计</w:t>
      </w:r>
      <w:r>
        <w:rPr>
          <w:rFonts w:ascii="宋体" w:hAnsi="宋体"/>
          <w:sz w:val="24"/>
        </w:rPr>
        <w:t>54</w:t>
      </w:r>
      <w:r>
        <w:rPr>
          <w:rFonts w:hint="eastAsia" w:ascii="宋体" w:hAnsi="宋体"/>
          <w:sz w:val="24"/>
        </w:rPr>
        <w:t>名。创新专业人才培养模式，形成了适合中职医药卫生类专业特点的“校院交替，能力递进”的人才培养模式，</w:t>
      </w:r>
      <w:bookmarkEnd w:id="26"/>
      <w:bookmarkStart w:id="27" w:name="_Toc467049600"/>
      <w:r>
        <w:rPr>
          <w:rFonts w:hint="eastAsia" w:ascii="宋体" w:hAnsi="宋体"/>
          <w:sz w:val="24"/>
        </w:rPr>
        <w:t>构建了</w:t>
      </w:r>
      <w:r>
        <w:rPr>
          <w:rFonts w:ascii="宋体" w:hAnsi="宋体"/>
          <w:sz w:val="24"/>
        </w:rPr>
        <w:t xml:space="preserve"> </w:t>
      </w:r>
      <w:r>
        <w:rPr>
          <w:rFonts w:hint="eastAsia" w:ascii="宋体" w:hAnsi="宋体"/>
          <w:sz w:val="24"/>
        </w:rPr>
        <w:t>“公共必修课</w:t>
      </w:r>
      <w:r>
        <w:rPr>
          <w:rFonts w:ascii="宋体" w:hAnsi="宋体"/>
          <w:sz w:val="24"/>
        </w:rPr>
        <w:t>+</w:t>
      </w:r>
      <w:r>
        <w:rPr>
          <w:rFonts w:hint="eastAsia" w:ascii="宋体" w:hAnsi="宋体"/>
          <w:sz w:val="24"/>
        </w:rPr>
        <w:t>专业核心课</w:t>
      </w:r>
      <w:r>
        <w:rPr>
          <w:rFonts w:ascii="宋体" w:hAnsi="宋体"/>
          <w:sz w:val="24"/>
        </w:rPr>
        <w:t>+</w:t>
      </w:r>
      <w:r>
        <w:rPr>
          <w:rFonts w:hint="eastAsia" w:ascii="宋体" w:hAnsi="宋体"/>
          <w:sz w:val="24"/>
        </w:rPr>
        <w:t>限定选修课</w:t>
      </w:r>
      <w:r>
        <w:rPr>
          <w:rFonts w:ascii="宋体" w:hAnsi="宋体"/>
          <w:sz w:val="24"/>
        </w:rPr>
        <w:t>+</w:t>
      </w:r>
      <w:r>
        <w:rPr>
          <w:rFonts w:hint="eastAsia" w:ascii="宋体" w:hAnsi="宋体"/>
          <w:sz w:val="24"/>
        </w:rPr>
        <w:t>自由选修课”的模块化选择性课程体系</w:t>
      </w:r>
      <w:bookmarkStart w:id="28" w:name="_Toc394553702"/>
      <w:bookmarkStart w:id="29" w:name="_Toc393452942"/>
      <w:r>
        <w:rPr>
          <w:rFonts w:hint="eastAsia" w:ascii="宋体" w:hAnsi="宋体"/>
          <w:sz w:val="24"/>
        </w:rPr>
        <w:t>，</w:t>
      </w:r>
      <w:bookmarkEnd w:id="27"/>
      <w:bookmarkEnd w:id="28"/>
      <w:bookmarkEnd w:id="29"/>
      <w:bookmarkStart w:id="30" w:name="_Toc433043557"/>
      <w:bookmarkStart w:id="31" w:name="_Toc433043196"/>
      <w:bookmarkStart w:id="32" w:name="_Toc393452943"/>
      <w:bookmarkStart w:id="33" w:name="_Toc394553703"/>
      <w:r>
        <w:rPr>
          <w:rFonts w:hint="eastAsia" w:ascii="宋体" w:hAnsi="宋体"/>
          <w:sz w:val="24"/>
        </w:rPr>
        <w:t>重点加强专业核心课程和自由选修课程建</w:t>
      </w:r>
      <w:bookmarkStart w:id="34" w:name="_Toc467049602"/>
      <w:r>
        <w:rPr>
          <w:rFonts w:hint="eastAsia" w:ascii="宋体" w:hAnsi="宋体"/>
          <w:sz w:val="24"/>
        </w:rPr>
        <w:t>设</w:t>
      </w:r>
      <w:r>
        <w:rPr>
          <w:rFonts w:ascii="宋体"/>
          <w:sz w:val="24"/>
        </w:rPr>
        <w:t>,</w:t>
      </w:r>
      <w:r>
        <w:rPr>
          <w:rFonts w:hint="eastAsia" w:ascii="宋体" w:hAnsi="宋体"/>
          <w:sz w:val="24"/>
        </w:rPr>
        <w:t>完善各专业核心课程教学标准。教材全部选用国家规划教材、</w:t>
      </w:r>
      <w:r>
        <w:rPr>
          <w:rFonts w:ascii="宋体" w:hAnsi="宋体"/>
          <w:sz w:val="24"/>
        </w:rPr>
        <w:t>省课程改革教材</w:t>
      </w:r>
      <w:r>
        <w:rPr>
          <w:rFonts w:hint="eastAsia" w:ascii="宋体" w:hAnsi="宋体"/>
          <w:sz w:val="24"/>
        </w:rPr>
        <w:t>以及上级院校规定教材，开设人文素养和职业素养等自由选修课</w:t>
      </w:r>
      <w:r>
        <w:rPr>
          <w:rFonts w:ascii="宋体" w:hAnsi="宋体"/>
          <w:sz w:val="24"/>
        </w:rPr>
        <w:t>50</w:t>
      </w:r>
      <w:r>
        <w:rPr>
          <w:rFonts w:hint="eastAsia" w:ascii="宋体" w:hAnsi="宋体"/>
          <w:sz w:val="24"/>
        </w:rPr>
        <w:t>余门次。</w:t>
      </w:r>
      <w:bookmarkEnd w:id="34"/>
    </w:p>
    <w:p>
      <w:pPr>
        <w:widowControl/>
        <w:snapToGrid w:val="0"/>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积极探索1</w:t>
      </w:r>
      <w:r>
        <w:rPr>
          <w:rFonts w:ascii="宋体" w:hAnsi="宋体" w:cs="宋体"/>
          <w:kern w:val="0"/>
          <w:sz w:val="24"/>
          <w:szCs w:val="22"/>
        </w:rPr>
        <w:t>+X</w:t>
      </w:r>
      <w:r>
        <w:rPr>
          <w:rFonts w:hint="eastAsia" w:ascii="宋体" w:hAnsi="宋体" w:cs="宋体"/>
          <w:kern w:val="0"/>
          <w:sz w:val="24"/>
          <w:szCs w:val="22"/>
        </w:rPr>
        <w:t>老年</w:t>
      </w:r>
      <w:r>
        <w:rPr>
          <w:rFonts w:ascii="宋体" w:hAnsi="宋体" w:cs="宋体"/>
          <w:kern w:val="0"/>
          <w:sz w:val="24"/>
          <w:szCs w:val="22"/>
        </w:rPr>
        <w:t>照护</w:t>
      </w:r>
      <w:r>
        <w:rPr>
          <w:rFonts w:hint="eastAsia" w:ascii="宋体" w:hAnsi="宋体" w:cs="宋体"/>
          <w:kern w:val="0"/>
          <w:sz w:val="24"/>
          <w:szCs w:val="22"/>
        </w:rPr>
        <w:t>与</w:t>
      </w:r>
      <w:r>
        <w:rPr>
          <w:rFonts w:ascii="宋体" w:hAnsi="宋体" w:cs="宋体"/>
          <w:kern w:val="0"/>
          <w:sz w:val="24"/>
          <w:szCs w:val="22"/>
        </w:rPr>
        <w:t>母婴护理</w:t>
      </w:r>
      <w:r>
        <w:rPr>
          <w:rFonts w:hint="eastAsia" w:ascii="宋体" w:hAnsi="宋体" w:cs="宋体"/>
          <w:kern w:val="0"/>
          <w:sz w:val="24"/>
          <w:szCs w:val="22"/>
        </w:rPr>
        <w:t>创新试点项目</w:t>
      </w:r>
      <w:r>
        <w:rPr>
          <w:rFonts w:ascii="宋体" w:hAnsi="宋体" w:cs="宋体"/>
          <w:kern w:val="0"/>
          <w:sz w:val="24"/>
          <w:szCs w:val="22"/>
        </w:rPr>
        <w:t>。</w:t>
      </w:r>
      <w:r>
        <w:rPr>
          <w:rFonts w:hint="eastAsia" w:ascii="宋体" w:hAnsi="宋体" w:cs="宋体"/>
          <w:kern w:val="0"/>
          <w:sz w:val="24"/>
          <w:szCs w:val="22"/>
        </w:rPr>
        <w:t>我</w:t>
      </w:r>
      <w:r>
        <w:rPr>
          <w:rFonts w:ascii="宋体" w:hAnsi="宋体" w:cs="宋体"/>
          <w:kern w:val="0"/>
          <w:sz w:val="24"/>
          <w:szCs w:val="22"/>
        </w:rPr>
        <w:t>校是</w:t>
      </w:r>
      <w:r>
        <w:rPr>
          <w:rFonts w:hint="eastAsia" w:ascii="宋体" w:hAnsi="宋体" w:cs="宋体"/>
          <w:kern w:val="0"/>
          <w:sz w:val="24"/>
          <w:szCs w:val="22"/>
        </w:rPr>
        <w:t>教育部确定的首批1+X老年照护证书试点学校，结合社会</w:t>
      </w:r>
      <w:r>
        <w:rPr>
          <w:rFonts w:ascii="宋体" w:hAnsi="宋体" w:cs="宋体"/>
          <w:kern w:val="0"/>
          <w:sz w:val="24"/>
          <w:szCs w:val="22"/>
        </w:rPr>
        <w:t>养老服务的需求以及</w:t>
      </w:r>
      <w:r>
        <w:rPr>
          <w:rFonts w:hint="eastAsia" w:ascii="宋体" w:hAnsi="宋体" w:cs="宋体"/>
          <w:kern w:val="0"/>
          <w:sz w:val="24"/>
          <w:szCs w:val="22"/>
        </w:rPr>
        <w:t>卫生类专业特点，</w:t>
      </w:r>
      <w:r>
        <w:rPr>
          <w:rFonts w:ascii="宋体" w:hAnsi="宋体" w:cs="宋体"/>
          <w:kern w:val="0"/>
          <w:sz w:val="24"/>
          <w:szCs w:val="22"/>
        </w:rPr>
        <w:t>在教学上，将</w:t>
      </w:r>
      <w:r>
        <w:rPr>
          <w:rFonts w:hint="eastAsia" w:ascii="宋体" w:hAnsi="宋体" w:cs="宋体"/>
          <w:kern w:val="0"/>
          <w:sz w:val="24"/>
          <w:szCs w:val="22"/>
        </w:rPr>
        <w:t>老年</w:t>
      </w:r>
      <w:r>
        <w:rPr>
          <w:rFonts w:ascii="宋体" w:hAnsi="宋体" w:cs="宋体"/>
          <w:kern w:val="0"/>
          <w:sz w:val="24"/>
          <w:szCs w:val="22"/>
        </w:rPr>
        <w:t>照护</w:t>
      </w:r>
      <w:r>
        <w:rPr>
          <w:rFonts w:hint="eastAsia" w:ascii="宋体" w:hAnsi="宋体" w:cs="宋体"/>
          <w:kern w:val="0"/>
          <w:sz w:val="24"/>
          <w:szCs w:val="22"/>
        </w:rPr>
        <w:t>证</w:t>
      </w:r>
      <w:r>
        <w:rPr>
          <w:rFonts w:ascii="宋体" w:hAnsi="宋体" w:cs="宋体"/>
          <w:kern w:val="0"/>
          <w:sz w:val="24"/>
          <w:szCs w:val="22"/>
        </w:rPr>
        <w:t>书要求充分融入课堂，通过</w:t>
      </w:r>
      <w:r>
        <w:rPr>
          <w:rFonts w:hint="eastAsia" w:ascii="宋体" w:hAnsi="宋体" w:cs="宋体"/>
          <w:kern w:val="0"/>
          <w:sz w:val="24"/>
          <w:szCs w:val="22"/>
        </w:rPr>
        <w:t>课</w:t>
      </w:r>
      <w:r>
        <w:rPr>
          <w:rFonts w:ascii="宋体" w:hAnsi="宋体" w:cs="宋体"/>
          <w:kern w:val="0"/>
          <w:sz w:val="24"/>
          <w:szCs w:val="22"/>
        </w:rPr>
        <w:t>堂教学、项目教学、实操</w:t>
      </w:r>
      <w:r>
        <w:rPr>
          <w:rFonts w:hint="eastAsia" w:ascii="宋体" w:hAnsi="宋体" w:cs="宋体"/>
          <w:kern w:val="0"/>
          <w:sz w:val="24"/>
          <w:szCs w:val="22"/>
        </w:rPr>
        <w:t>集</w:t>
      </w:r>
      <w:r>
        <w:rPr>
          <w:rFonts w:ascii="宋体" w:hAnsi="宋体" w:cs="宋体"/>
          <w:kern w:val="0"/>
          <w:sz w:val="24"/>
          <w:szCs w:val="22"/>
        </w:rPr>
        <w:t>训等方式</w:t>
      </w:r>
      <w:r>
        <w:rPr>
          <w:rFonts w:hint="eastAsia" w:ascii="宋体" w:hAnsi="宋体" w:cs="宋体"/>
          <w:kern w:val="0"/>
          <w:sz w:val="24"/>
          <w:szCs w:val="22"/>
        </w:rPr>
        <w:t>，</w:t>
      </w:r>
      <w:r>
        <w:rPr>
          <w:rFonts w:ascii="宋体" w:hAnsi="宋体" w:cs="宋体"/>
          <w:kern w:val="0"/>
          <w:sz w:val="24"/>
          <w:szCs w:val="22"/>
        </w:rPr>
        <w:t>积极备考</w:t>
      </w:r>
      <w:r>
        <w:rPr>
          <w:rFonts w:hint="eastAsia" w:ascii="宋体" w:hAnsi="宋体" w:cs="宋体"/>
          <w:kern w:val="0"/>
          <w:sz w:val="24"/>
          <w:szCs w:val="22"/>
        </w:rPr>
        <w:t>。同时</w:t>
      </w:r>
      <w:r>
        <w:rPr>
          <w:rFonts w:ascii="宋体" w:hAnsi="宋体" w:cs="宋体"/>
          <w:kern w:val="0"/>
          <w:sz w:val="24"/>
          <w:szCs w:val="22"/>
        </w:rPr>
        <w:t>对</w:t>
      </w:r>
      <w:r>
        <w:rPr>
          <w:rFonts w:hint="eastAsia" w:ascii="宋体" w:hAnsi="宋体" w:cs="宋体"/>
          <w:kern w:val="0"/>
          <w:sz w:val="24"/>
          <w:szCs w:val="22"/>
        </w:rPr>
        <w:t>1</w:t>
      </w:r>
      <w:r>
        <w:rPr>
          <w:rFonts w:ascii="宋体" w:hAnsi="宋体" w:cs="宋体"/>
          <w:kern w:val="0"/>
          <w:sz w:val="24"/>
          <w:szCs w:val="22"/>
        </w:rPr>
        <w:t>+X</w:t>
      </w:r>
      <w:r>
        <w:rPr>
          <w:rFonts w:hint="eastAsia" w:ascii="宋体" w:hAnsi="宋体" w:cs="宋体"/>
          <w:kern w:val="0"/>
          <w:sz w:val="24"/>
          <w:szCs w:val="22"/>
        </w:rPr>
        <w:t>母</w:t>
      </w:r>
      <w:r>
        <w:rPr>
          <w:rFonts w:ascii="宋体" w:hAnsi="宋体" w:cs="宋体"/>
          <w:kern w:val="0"/>
          <w:sz w:val="24"/>
          <w:szCs w:val="22"/>
        </w:rPr>
        <w:t>婴护理</w:t>
      </w:r>
      <w:r>
        <w:rPr>
          <w:rFonts w:hint="eastAsia" w:ascii="宋体" w:hAnsi="宋体" w:cs="宋体"/>
          <w:kern w:val="0"/>
          <w:sz w:val="24"/>
          <w:szCs w:val="22"/>
        </w:rPr>
        <w:t>在</w:t>
      </w:r>
      <w:r>
        <w:rPr>
          <w:rFonts w:ascii="宋体" w:hAnsi="宋体" w:cs="宋体"/>
          <w:kern w:val="0"/>
          <w:sz w:val="24"/>
          <w:szCs w:val="22"/>
        </w:rPr>
        <w:t>专业发</w:t>
      </w:r>
      <w:r>
        <w:rPr>
          <w:rFonts w:hint="eastAsia" w:ascii="宋体" w:hAnsi="宋体" w:cs="宋体"/>
          <w:kern w:val="0"/>
          <w:sz w:val="24"/>
          <w:szCs w:val="22"/>
        </w:rPr>
        <w:t>展</w:t>
      </w:r>
      <w:r>
        <w:rPr>
          <w:rFonts w:ascii="宋体" w:hAnsi="宋体" w:cs="宋体"/>
          <w:kern w:val="0"/>
          <w:sz w:val="24"/>
          <w:szCs w:val="22"/>
        </w:rPr>
        <w:t>中</w:t>
      </w:r>
      <w:r>
        <w:rPr>
          <w:rFonts w:hint="eastAsia" w:ascii="宋体" w:hAnsi="宋体" w:cs="宋体"/>
          <w:kern w:val="0"/>
          <w:sz w:val="24"/>
          <w:szCs w:val="22"/>
        </w:rPr>
        <w:t>也</w:t>
      </w:r>
      <w:r>
        <w:rPr>
          <w:rFonts w:ascii="宋体" w:hAnsi="宋体" w:cs="宋体"/>
          <w:kern w:val="0"/>
          <w:sz w:val="24"/>
          <w:szCs w:val="22"/>
        </w:rPr>
        <w:t>已经着手准备。</w:t>
      </w:r>
      <w:r>
        <w:rPr>
          <w:rFonts w:hint="eastAsia" w:ascii="宋体" w:hAnsi="宋体" w:cs="宋体"/>
          <w:kern w:val="0"/>
          <w:sz w:val="24"/>
          <w:szCs w:val="22"/>
        </w:rPr>
        <w:t>近</w:t>
      </w:r>
      <w:r>
        <w:rPr>
          <w:rFonts w:ascii="宋体" w:hAnsi="宋体" w:cs="宋体"/>
          <w:kern w:val="0"/>
          <w:sz w:val="24"/>
          <w:szCs w:val="22"/>
        </w:rPr>
        <w:t>几年，我校</w:t>
      </w:r>
      <w:r>
        <w:rPr>
          <w:rFonts w:hint="eastAsia" w:ascii="宋体" w:hAnsi="宋体" w:cs="宋体"/>
          <w:kern w:val="0"/>
          <w:sz w:val="24"/>
          <w:szCs w:val="22"/>
        </w:rPr>
        <w:t>还积极针对</w:t>
      </w:r>
      <w:r>
        <w:rPr>
          <w:rFonts w:ascii="宋体" w:hAnsi="宋体" w:cs="宋体"/>
          <w:kern w:val="0"/>
          <w:sz w:val="24"/>
          <w:szCs w:val="22"/>
        </w:rPr>
        <w:t>“中高职一体化”</w:t>
      </w:r>
      <w:r>
        <w:rPr>
          <w:rFonts w:hint="eastAsia" w:ascii="宋体" w:hAnsi="宋体" w:cs="宋体"/>
          <w:kern w:val="0"/>
          <w:sz w:val="24"/>
          <w:szCs w:val="22"/>
        </w:rPr>
        <w:t>、“</w:t>
      </w:r>
      <w:r>
        <w:rPr>
          <w:rFonts w:ascii="宋体" w:hAnsi="宋体" w:cs="宋体"/>
          <w:kern w:val="0"/>
          <w:sz w:val="24"/>
          <w:szCs w:val="22"/>
        </w:rPr>
        <w:t>中本一体化</w:t>
      </w:r>
      <w:r>
        <w:rPr>
          <w:rFonts w:hint="eastAsia" w:ascii="宋体" w:hAnsi="宋体" w:cs="宋体"/>
          <w:kern w:val="0"/>
          <w:sz w:val="24"/>
          <w:szCs w:val="22"/>
        </w:rPr>
        <w:t>”</w:t>
      </w:r>
      <w:r>
        <w:rPr>
          <w:rFonts w:ascii="宋体" w:hAnsi="宋体" w:cs="宋体"/>
          <w:kern w:val="0"/>
          <w:sz w:val="24"/>
          <w:szCs w:val="22"/>
        </w:rPr>
        <w:t>人才培养方</w:t>
      </w:r>
      <w:r>
        <w:rPr>
          <w:rFonts w:hint="eastAsia" w:ascii="宋体" w:hAnsi="宋体" w:cs="宋体"/>
          <w:kern w:val="0"/>
          <w:sz w:val="24"/>
          <w:szCs w:val="22"/>
        </w:rPr>
        <w:t>案进行探索</w:t>
      </w:r>
      <w:r>
        <w:rPr>
          <w:rFonts w:ascii="宋体" w:hAnsi="宋体" w:cs="宋体"/>
          <w:kern w:val="0"/>
          <w:sz w:val="24"/>
          <w:szCs w:val="22"/>
        </w:rPr>
        <w:t>，</w:t>
      </w:r>
      <w:r>
        <w:rPr>
          <w:rFonts w:hint="eastAsia" w:ascii="宋体" w:hAnsi="宋体" w:cs="宋体"/>
          <w:kern w:val="0"/>
          <w:sz w:val="24"/>
          <w:szCs w:val="22"/>
        </w:rPr>
        <w:t>12月</w:t>
      </w:r>
      <w:r>
        <w:rPr>
          <w:rFonts w:ascii="宋体" w:hAnsi="宋体" w:cs="宋体"/>
          <w:kern w:val="0"/>
          <w:sz w:val="24"/>
          <w:szCs w:val="22"/>
        </w:rPr>
        <w:t>份，分别组织280</w:t>
      </w:r>
      <w:r>
        <w:rPr>
          <w:rFonts w:hint="eastAsia" w:ascii="宋体" w:hAnsi="宋体" w:cs="宋体"/>
          <w:kern w:val="0"/>
          <w:sz w:val="24"/>
          <w:szCs w:val="22"/>
        </w:rPr>
        <w:t>余</w:t>
      </w:r>
      <w:r>
        <w:rPr>
          <w:rFonts w:ascii="宋体" w:hAnsi="宋体" w:cs="宋体"/>
          <w:kern w:val="0"/>
          <w:sz w:val="24"/>
          <w:szCs w:val="22"/>
        </w:rPr>
        <w:t>名学生走进</w:t>
      </w:r>
      <w:r>
        <w:rPr>
          <w:rFonts w:hint="eastAsia" w:ascii="宋体" w:hAnsi="宋体" w:cs="宋体"/>
          <w:kern w:val="0"/>
          <w:sz w:val="24"/>
          <w:szCs w:val="22"/>
        </w:rPr>
        <w:t>衢州</w:t>
      </w:r>
      <w:r>
        <w:rPr>
          <w:rFonts w:ascii="宋体" w:hAnsi="宋体" w:cs="宋体"/>
          <w:kern w:val="0"/>
          <w:sz w:val="24"/>
          <w:szCs w:val="22"/>
        </w:rPr>
        <w:t>职业技术学</w:t>
      </w:r>
      <w:r>
        <w:rPr>
          <w:rFonts w:hint="eastAsia" w:ascii="宋体" w:hAnsi="宋体" w:cs="宋体"/>
          <w:kern w:val="0"/>
          <w:sz w:val="24"/>
          <w:szCs w:val="22"/>
        </w:rPr>
        <w:t>院、</w:t>
      </w:r>
      <w:r>
        <w:rPr>
          <w:rFonts w:ascii="宋体" w:hAnsi="宋体" w:cs="宋体"/>
          <w:kern w:val="0"/>
          <w:sz w:val="24"/>
          <w:szCs w:val="22"/>
        </w:rPr>
        <w:t>宁波卫生职业技术学院、浙江医药高等专科学校、嘉兴学院参观学习，让学生提前</w:t>
      </w:r>
      <w:r>
        <w:rPr>
          <w:rFonts w:hint="eastAsia" w:ascii="宋体" w:hAnsi="宋体" w:cs="宋体"/>
          <w:kern w:val="0"/>
          <w:sz w:val="24"/>
          <w:szCs w:val="22"/>
        </w:rPr>
        <w:t>感受</w:t>
      </w:r>
      <w:r>
        <w:rPr>
          <w:rFonts w:ascii="宋体" w:hAnsi="宋体" w:cs="宋体"/>
          <w:kern w:val="0"/>
          <w:sz w:val="24"/>
          <w:szCs w:val="22"/>
        </w:rPr>
        <w:t>高</w:t>
      </w:r>
      <w:r>
        <w:rPr>
          <w:rFonts w:hint="eastAsia" w:ascii="宋体" w:hAnsi="宋体" w:cs="宋体"/>
          <w:kern w:val="0"/>
          <w:sz w:val="24"/>
          <w:szCs w:val="22"/>
        </w:rPr>
        <w:t>校氛围</w:t>
      </w:r>
      <w:r>
        <w:rPr>
          <w:rFonts w:ascii="宋体" w:hAnsi="宋体" w:cs="宋体"/>
          <w:kern w:val="0"/>
          <w:sz w:val="24"/>
          <w:szCs w:val="22"/>
        </w:rPr>
        <w:t>，</w:t>
      </w:r>
      <w:r>
        <w:rPr>
          <w:rFonts w:hint="eastAsia" w:ascii="宋体" w:hAnsi="宋体" w:cs="宋体"/>
          <w:kern w:val="0"/>
          <w:sz w:val="24"/>
          <w:szCs w:val="22"/>
        </w:rPr>
        <w:t>对</w:t>
      </w:r>
      <w:r>
        <w:rPr>
          <w:rFonts w:ascii="宋体" w:hAnsi="宋体" w:cs="宋体"/>
          <w:kern w:val="0"/>
          <w:sz w:val="24"/>
          <w:szCs w:val="22"/>
        </w:rPr>
        <w:t>高校的专业、</w:t>
      </w:r>
      <w:r>
        <w:rPr>
          <w:rFonts w:hint="eastAsia" w:ascii="宋体" w:hAnsi="宋体" w:cs="宋体"/>
          <w:kern w:val="0"/>
          <w:sz w:val="24"/>
          <w:szCs w:val="22"/>
        </w:rPr>
        <w:t>课</w:t>
      </w:r>
      <w:r>
        <w:rPr>
          <w:rFonts w:ascii="宋体" w:hAnsi="宋体" w:cs="宋体"/>
          <w:kern w:val="0"/>
          <w:sz w:val="24"/>
          <w:szCs w:val="22"/>
        </w:rPr>
        <w:t>程及未来的发展与要求有初步的了解</w:t>
      </w:r>
      <w:r>
        <w:rPr>
          <w:rFonts w:hint="eastAsia" w:ascii="宋体" w:hAnsi="宋体" w:cs="宋体"/>
          <w:kern w:val="0"/>
          <w:sz w:val="24"/>
          <w:szCs w:val="22"/>
        </w:rPr>
        <w:t>。1</w:t>
      </w:r>
      <w:r>
        <w:rPr>
          <w:rFonts w:ascii="宋体" w:hAnsi="宋体" w:cs="宋体"/>
          <w:kern w:val="0"/>
          <w:sz w:val="24"/>
          <w:szCs w:val="22"/>
        </w:rPr>
        <w:t>1</w:t>
      </w:r>
      <w:r>
        <w:rPr>
          <w:rFonts w:hint="eastAsia" w:ascii="宋体" w:hAnsi="宋体" w:cs="宋体"/>
          <w:kern w:val="0"/>
          <w:sz w:val="24"/>
          <w:szCs w:val="22"/>
        </w:rPr>
        <w:t>月</w:t>
      </w:r>
      <w:r>
        <w:rPr>
          <w:rFonts w:ascii="宋体" w:hAnsi="宋体" w:cs="宋体"/>
          <w:kern w:val="0"/>
          <w:sz w:val="24"/>
          <w:szCs w:val="22"/>
        </w:rPr>
        <w:t>份</w:t>
      </w:r>
      <w:r>
        <w:rPr>
          <w:rFonts w:hint="eastAsia" w:ascii="宋体" w:hAnsi="宋体" w:cs="宋体"/>
          <w:kern w:val="0"/>
          <w:sz w:val="24"/>
          <w:szCs w:val="22"/>
        </w:rPr>
        <w:t>，</w:t>
      </w:r>
      <w:r>
        <w:rPr>
          <w:rFonts w:ascii="宋体" w:hAnsi="宋体" w:cs="宋体"/>
          <w:kern w:val="0"/>
          <w:sz w:val="24"/>
          <w:szCs w:val="22"/>
        </w:rPr>
        <w:t>在海宁市中职课堂教学活动的</w:t>
      </w:r>
      <w:r>
        <w:rPr>
          <w:rFonts w:hint="eastAsia" w:ascii="宋体" w:hAnsi="宋体" w:cs="宋体"/>
          <w:kern w:val="0"/>
          <w:sz w:val="24"/>
          <w:szCs w:val="22"/>
        </w:rPr>
        <w:t>基础</w:t>
      </w:r>
      <w:r>
        <w:rPr>
          <w:rFonts w:ascii="宋体" w:hAnsi="宋体" w:cs="宋体"/>
          <w:kern w:val="0"/>
          <w:sz w:val="24"/>
          <w:szCs w:val="22"/>
        </w:rPr>
        <w:t>上，</w:t>
      </w:r>
      <w:r>
        <w:rPr>
          <w:rFonts w:hint="eastAsia" w:ascii="宋体" w:hAnsi="宋体" w:cs="宋体"/>
          <w:kern w:val="0"/>
          <w:sz w:val="24"/>
          <w:szCs w:val="22"/>
        </w:rPr>
        <w:t>学</w:t>
      </w:r>
      <w:r>
        <w:rPr>
          <w:rFonts w:ascii="宋体" w:hAnsi="宋体" w:cs="宋体"/>
          <w:kern w:val="0"/>
          <w:sz w:val="24"/>
          <w:szCs w:val="22"/>
        </w:rPr>
        <w:t>校开展</w:t>
      </w:r>
      <w:r>
        <w:rPr>
          <w:rFonts w:hint="eastAsia" w:ascii="宋体" w:hAnsi="宋体" w:cs="宋体"/>
          <w:kern w:val="0"/>
          <w:sz w:val="24"/>
          <w:szCs w:val="22"/>
        </w:rPr>
        <w:t>了</w:t>
      </w:r>
      <w:r>
        <w:rPr>
          <w:rFonts w:ascii="宋体" w:hAnsi="宋体" w:cs="宋体"/>
          <w:kern w:val="0"/>
          <w:sz w:val="24"/>
          <w:szCs w:val="22"/>
        </w:rPr>
        <w:t>精彩课堂教学研讨活动，</w:t>
      </w:r>
      <w:r>
        <w:rPr>
          <w:rFonts w:hint="eastAsia" w:ascii="宋体" w:hAnsi="宋体" w:cs="宋体"/>
          <w:kern w:val="0"/>
          <w:sz w:val="24"/>
          <w:szCs w:val="22"/>
        </w:rPr>
        <w:t>积极推进以“精彩课堂”评价为核心的教学方法创新实践，结合学生和课程特点，注重“德育渗透”和信息化教学手段应用，探索开展案例教学、情景模拟教学、仿真实践教学等多种形式的教学方法改革，激发学生学习兴趣，提升课程教学质量。</w:t>
      </w:r>
    </w:p>
    <w:bookmarkEnd w:id="30"/>
    <w:bookmarkEnd w:id="31"/>
    <w:bookmarkEnd w:id="32"/>
    <w:bookmarkEnd w:id="33"/>
    <w:p>
      <w:pPr>
        <w:pStyle w:val="3"/>
        <w:keepNext w:val="0"/>
        <w:keepLines w:val="0"/>
        <w:adjustRightInd w:val="0"/>
        <w:spacing w:line="360" w:lineRule="auto"/>
        <w:ind w:firstLine="560" w:firstLineChars="200"/>
        <w:rPr>
          <w:b w:val="0"/>
          <w:sz w:val="28"/>
          <w:szCs w:val="28"/>
        </w:rPr>
      </w:pPr>
      <w:r>
        <w:rPr>
          <w:rFonts w:hint="eastAsia"/>
          <w:b w:val="0"/>
          <w:sz w:val="28"/>
          <w:szCs w:val="28"/>
        </w:rPr>
        <w:t>3.3教师培养培训</w:t>
      </w:r>
      <w:bookmarkEnd w:id="25"/>
    </w:p>
    <w:p>
      <w:pPr>
        <w:spacing w:line="360" w:lineRule="auto"/>
        <w:ind w:firstLine="480" w:firstLineChars="200"/>
        <w:rPr>
          <w:rFonts w:cs="宋体" w:asciiTheme="minorEastAsia" w:hAnsiTheme="minorEastAsia" w:eastAsiaTheme="minorEastAsia"/>
          <w:kern w:val="0"/>
          <w:sz w:val="24"/>
        </w:rPr>
      </w:pPr>
      <w:bookmarkStart w:id="35" w:name="_Toc471905922"/>
      <w:r>
        <w:rPr>
          <w:rFonts w:hint="eastAsia" w:cs="宋体" w:asciiTheme="minorEastAsia" w:hAnsiTheme="minorEastAsia" w:eastAsiaTheme="minorEastAsia"/>
          <w:kern w:val="0"/>
          <w:sz w:val="24"/>
        </w:rPr>
        <w:t xml:space="preserve">2019年，学校进一步完善了《学校名优教师评选办法》、《学校职称晋升推荐考核条例》、《专业教师下临床实施办法》等一系列促进教师专业成长的制度和措施，并认真按照《教师发展“十三五”规划》的建设思路，通过“梯队建设，重点培养、外引内培、有效激励”四项举措，通过“平台培训、临床实践、结对培养、科研引领、竞赛助推”五条培育路径，在教师教育教学能力提升，双师素质形成、名优教师培养等方面取得了明显成效。 </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2019年度，学校参加各级各类教育培训256人次。在全国、省、市级信息化教学、班主任基本功、专业技能等各类比赛中获得奖项25项，其中李献俊老师获得2019年浙江省职业学校文化课、专业课教师信息化教学说课大赛三等奖，李铮铮获得全国“创新杯”信息化教学设计与说课比赛二等奖，沈苞洁和金小燕老师分别获得2019年全国职业技术教育学会职业院校护理专业教师教学能力大赛二等奖和三等奖。</w:t>
      </w:r>
    </w:p>
    <w:p>
      <w:pPr>
        <w:pStyle w:val="3"/>
        <w:keepNext w:val="0"/>
        <w:keepLines w:val="0"/>
        <w:adjustRightInd w:val="0"/>
        <w:snapToGrid w:val="0"/>
        <w:spacing w:line="360" w:lineRule="auto"/>
        <w:ind w:firstLine="560" w:firstLineChars="200"/>
        <w:rPr>
          <w:b w:val="0"/>
          <w:sz w:val="28"/>
          <w:szCs w:val="28"/>
        </w:rPr>
      </w:pPr>
      <w:r>
        <w:rPr>
          <w:rFonts w:hint="eastAsia"/>
          <w:b w:val="0"/>
          <w:sz w:val="28"/>
          <w:szCs w:val="28"/>
        </w:rPr>
        <w:t>3.4规范管理</w:t>
      </w:r>
      <w:bookmarkEnd w:id="35"/>
    </w:p>
    <w:p>
      <w:pPr>
        <w:pStyle w:val="3"/>
        <w:keepNext w:val="0"/>
        <w:keepLines w:val="0"/>
        <w:adjustRightInd w:val="0"/>
        <w:snapToGrid w:val="0"/>
        <w:spacing w:line="360" w:lineRule="auto"/>
        <w:ind w:firstLine="602" w:firstLineChars="250"/>
        <w:rPr>
          <w:rFonts w:ascii="黑体"/>
          <w:sz w:val="24"/>
        </w:rPr>
      </w:pPr>
      <w:bookmarkStart w:id="36" w:name="_Toc471905923"/>
      <w:r>
        <w:rPr>
          <w:rFonts w:ascii="黑体" w:hAnsi="黑体"/>
          <w:sz w:val="24"/>
        </w:rPr>
        <w:t>3.4.1</w:t>
      </w:r>
      <w:r>
        <w:rPr>
          <w:rFonts w:hint="eastAsia" w:ascii="黑体" w:hAnsi="黑体"/>
          <w:sz w:val="24"/>
        </w:rPr>
        <w:t>教学管理</w:t>
      </w:r>
      <w:bookmarkEnd w:id="36"/>
    </w:p>
    <w:p>
      <w:pPr>
        <w:spacing w:line="360" w:lineRule="auto"/>
        <w:ind w:firstLine="482" w:firstLineChars="200"/>
        <w:rPr>
          <w:rFonts w:ascii="宋体"/>
          <w:sz w:val="24"/>
        </w:rPr>
      </w:pPr>
      <w:bookmarkStart w:id="37" w:name="_Toc471905924"/>
      <w:r>
        <w:rPr>
          <w:rFonts w:hint="eastAsia"/>
          <w:b/>
          <w:sz w:val="24"/>
        </w:rPr>
        <w:t>教学常规落到</w:t>
      </w:r>
      <w:r>
        <w:rPr>
          <w:b/>
          <w:sz w:val="24"/>
        </w:rPr>
        <w:t>实处</w:t>
      </w:r>
      <w:r>
        <w:rPr>
          <w:rFonts w:hint="eastAsia"/>
          <w:b/>
          <w:sz w:val="24"/>
        </w:rPr>
        <w:t>。</w:t>
      </w:r>
      <w:r>
        <w:rPr>
          <w:sz w:val="24"/>
        </w:rPr>
        <w:t xml:space="preserve"> </w:t>
      </w:r>
      <w:r>
        <w:rPr>
          <w:rFonts w:hint="eastAsia"/>
          <w:sz w:val="24"/>
        </w:rPr>
        <w:t>学校按照《嘉兴市中职教学管理评估标准》以及学校《教学工作考核评价办法》、《教学常规管理制度》、《教师听课制度》、《考试管理规定》等制度，狠抓教学管理的规范化和精细化。</w:t>
      </w:r>
      <w:r>
        <w:rPr>
          <w:rFonts w:hint="eastAsia" w:ascii="宋体" w:hAnsi="宋体"/>
          <w:sz w:val="24"/>
        </w:rPr>
        <w:t>课程教学计划实行教研组与教务处两级审核，并严格督查教学计划的执行情况。</w:t>
      </w:r>
      <w:r>
        <w:rPr>
          <w:rFonts w:hint="eastAsia"/>
          <w:sz w:val="24"/>
        </w:rPr>
        <w:t>日常教学严格执行教师调课、代课、停课、加课等提前申请审批制度。</w:t>
      </w:r>
      <w:r>
        <w:rPr>
          <w:rFonts w:hint="eastAsia" w:ascii="宋体" w:hAnsi="宋体"/>
          <w:sz w:val="24"/>
        </w:rPr>
        <w:t>按教学课时要求书写教案，认真做到“六备”，并进行定期与不定期地检查教案。作业布置要求每节有作业，有作业必须批阅，每次批阅必有讲评。严格做好考试的命题、考务、阅卷、成绩统计、成绩发布、成绩分析等，严把命题关，保密关，严肃考风考纪，阅卷评分公平公正。</w:t>
      </w:r>
      <w:r>
        <w:rPr>
          <w:rFonts w:ascii="宋体" w:hAnsi="宋体"/>
          <w:sz w:val="24"/>
        </w:rPr>
        <w:t xml:space="preserve"> </w:t>
      </w:r>
    </w:p>
    <w:p>
      <w:pPr>
        <w:spacing w:line="360" w:lineRule="auto"/>
        <w:ind w:firstLine="482" w:firstLineChars="200"/>
        <w:rPr>
          <w:rFonts w:asciiTheme="minorEastAsia" w:hAnsiTheme="minorEastAsia" w:eastAsiaTheme="minorEastAsia"/>
          <w:sz w:val="24"/>
        </w:rPr>
      </w:pPr>
      <w:r>
        <w:rPr>
          <w:rFonts w:hint="eastAsia" w:ascii="宋体" w:hAnsi="宋体"/>
          <w:b/>
          <w:sz w:val="24"/>
        </w:rPr>
        <w:t>课堂教学追求实</w:t>
      </w:r>
      <w:r>
        <w:rPr>
          <w:rFonts w:ascii="宋体" w:hAnsi="宋体"/>
          <w:b/>
          <w:sz w:val="24"/>
        </w:rPr>
        <w:t>效</w:t>
      </w:r>
      <w:r>
        <w:rPr>
          <w:rFonts w:hint="eastAsia" w:ascii="宋体" w:hAnsi="宋体"/>
          <w:b/>
          <w:sz w:val="24"/>
        </w:rPr>
        <w:t>。</w:t>
      </w:r>
      <w:r>
        <w:rPr>
          <w:rFonts w:hint="eastAsia" w:ascii="宋体" w:hAnsi="宋体"/>
          <w:sz w:val="24"/>
        </w:rPr>
        <w:t>认真抓好《班级课堂教学日志》、《教务日志》等真实记录，发现问题及时处理。严格落实课堂安全责任，每节课实行点名报告制度。完善三级课堂监管机制。建立并实行听课评价组、校级教学指导小组、专业主任和教研组长推门听课制度，及时反馈评课意见。实行教学班级的定期访谈制，认真听取教师与学生的意见，掌握校内外有关教学动态，及时改进工作。学校领导、教务处不定期进行课堂教学电子巡查和实地巡查，发现问题及时反馈与解决，教学巡查与学期教学考核相挂钩。</w:t>
      </w:r>
    </w:p>
    <w:bookmarkEnd w:id="37"/>
    <w:p>
      <w:pPr>
        <w:pStyle w:val="3"/>
        <w:keepNext w:val="0"/>
        <w:keepLines w:val="0"/>
        <w:adjustRightInd w:val="0"/>
        <w:snapToGrid w:val="0"/>
        <w:spacing w:line="360" w:lineRule="auto"/>
        <w:ind w:firstLine="482" w:firstLineChars="200"/>
        <w:rPr>
          <w:rFonts w:ascii="黑体" w:hAnsi="黑体"/>
          <w:sz w:val="24"/>
        </w:rPr>
      </w:pPr>
      <w:bookmarkStart w:id="38" w:name="_Toc471905926"/>
      <w:r>
        <w:rPr>
          <w:rFonts w:hint="eastAsia" w:ascii="黑体" w:hAnsi="黑体"/>
          <w:sz w:val="24"/>
        </w:rPr>
        <w:t>3.4.2学生管理</w:t>
      </w:r>
    </w:p>
    <w:p>
      <w:pPr>
        <w:spacing w:line="360" w:lineRule="auto"/>
        <w:ind w:firstLine="482" w:firstLineChars="200"/>
        <w:rPr>
          <w:rFonts w:ascii="宋体" w:hAnsi="宋体"/>
          <w:sz w:val="24"/>
        </w:rPr>
      </w:pPr>
      <w:r>
        <w:rPr>
          <w:rFonts w:hint="eastAsia" w:ascii="宋体" w:hAnsi="宋体"/>
          <w:b/>
          <w:sz w:val="24"/>
        </w:rPr>
        <w:t>夯实日常管理，强化学生养成教育。</w:t>
      </w:r>
      <w:r>
        <w:rPr>
          <w:rFonts w:hint="eastAsia" w:ascii="宋体" w:hAnsi="宋体"/>
          <w:sz w:val="24"/>
        </w:rPr>
        <w:t>以“文明礼仪”为切入，以“7S”为抓手，推进学生日常管理。以“文明礼仪”星级班考核及学生个人操行考评为标准，在全员德育的大背景下，通过健全的德育网络机制，依靠值周值班老师、学生干部、生活管理老师等多方力量，24小时全方位督促学生言行。本年度继续推进持续质量改进，强化“三早”“三晚”的节点管理，促进学生的养成教育。</w:t>
      </w:r>
      <w:r>
        <w:rPr>
          <w:rFonts w:hint="eastAsia" w:ascii="宋体" w:hAnsi="宋体"/>
          <w:sz w:val="24"/>
        </w:rPr>
        <w:br w:type="textWrapping"/>
      </w:r>
      <w:r>
        <w:rPr>
          <w:rFonts w:hint="eastAsia" w:ascii="宋体" w:hAnsi="宋体"/>
          <w:b/>
          <w:sz w:val="24"/>
        </w:rPr>
        <w:t xml:space="preserve">    开展系列主题活动，提升学生整体素质。</w:t>
      </w:r>
      <w:r>
        <w:rPr>
          <w:rFonts w:hint="eastAsia" w:ascii="宋体" w:hAnsi="宋体"/>
          <w:sz w:val="24"/>
        </w:rPr>
        <w:t>坚持每月一个德育主题，上半年开展我校特色品牌教育——1</w:t>
      </w:r>
      <w:r>
        <w:rPr>
          <w:rFonts w:ascii="宋体" w:hAnsi="宋体"/>
          <w:sz w:val="24"/>
        </w:rPr>
        <w:t>7</w:t>
      </w:r>
      <w:r>
        <w:rPr>
          <w:rFonts w:hint="eastAsia" w:ascii="宋体" w:hAnsi="宋体"/>
          <w:sz w:val="24"/>
        </w:rPr>
        <w:t>级护理专业传光授帽仪式，第十七届校园文化艺术技能节，岗前教育等专题活动；下半年开展了1</w:t>
      </w:r>
      <w:r>
        <w:rPr>
          <w:rFonts w:ascii="宋体" w:hAnsi="宋体"/>
          <w:sz w:val="24"/>
        </w:rPr>
        <w:t>9</w:t>
      </w:r>
      <w:r>
        <w:rPr>
          <w:rFonts w:hint="eastAsia" w:ascii="宋体" w:hAnsi="宋体"/>
          <w:sz w:val="24"/>
        </w:rPr>
        <w:t>级新生学生军训，随后开展全体师生校运会，技能竞标赛，元旦迎新综艺</w:t>
      </w:r>
      <w:r>
        <w:rPr>
          <w:rFonts w:ascii="宋体" w:hAnsi="宋体"/>
          <w:sz w:val="24"/>
        </w:rPr>
        <w:t>活动</w:t>
      </w:r>
      <w:r>
        <w:rPr>
          <w:rFonts w:hint="eastAsia" w:ascii="宋体" w:hAnsi="宋体"/>
          <w:sz w:val="24"/>
        </w:rPr>
        <w:t>和学生研学活动，学生参与率达100%，大幅提高了学生的综合素质。同时举行了2次全校性的消防疏散演练和防震减灾演练，</w:t>
      </w:r>
      <w:r>
        <w:rPr>
          <w:rFonts w:ascii="宋体" w:hAnsi="宋体"/>
          <w:sz w:val="24"/>
        </w:rPr>
        <w:t>6</w:t>
      </w:r>
      <w:r>
        <w:rPr>
          <w:rFonts w:hint="eastAsia" w:ascii="宋体" w:hAnsi="宋体"/>
          <w:sz w:val="24"/>
        </w:rPr>
        <w:t>场有关交通消防、宪法、网络安全、禁毒等方面的专题讲座，引导学生做一名合法公民。</w:t>
      </w:r>
      <w:r>
        <w:rPr>
          <w:rFonts w:hint="eastAsia" w:ascii="宋体" w:hAnsi="宋体"/>
          <w:sz w:val="24"/>
        </w:rPr>
        <w:br w:type="textWrapping"/>
      </w:r>
      <w:r>
        <w:rPr>
          <w:rFonts w:hint="eastAsia" w:ascii="宋体" w:hAnsi="宋体"/>
          <w:sz w:val="24"/>
        </w:rPr>
        <w:t xml:space="preserve"> </w:t>
      </w:r>
      <w:r>
        <w:rPr>
          <w:rFonts w:hint="eastAsia" w:ascii="宋体" w:hAnsi="宋体"/>
          <w:b/>
          <w:sz w:val="24"/>
        </w:rPr>
        <w:t xml:space="preserve">   拓宽家校联系平台，发挥家校合力。</w:t>
      </w:r>
      <w:r>
        <w:rPr>
          <w:rFonts w:hint="eastAsia" w:ascii="宋体" w:hAnsi="宋体"/>
          <w:sz w:val="24"/>
        </w:rPr>
        <w:t>通过家访、家长会、校讯通、书面调查表等形式积极开展家校联系活动，家校联系率每学期达到100%。本年度举行了</w:t>
      </w:r>
      <w:r>
        <w:rPr>
          <w:rFonts w:ascii="宋体" w:hAnsi="宋体"/>
          <w:sz w:val="24"/>
        </w:rPr>
        <w:t>6</w:t>
      </w:r>
      <w:r>
        <w:rPr>
          <w:rFonts w:hint="eastAsia" w:ascii="宋体" w:hAnsi="宋体"/>
          <w:sz w:val="24"/>
        </w:rPr>
        <w:t>次家长会，有岗前家长会、补考学生家长会、常规班级组织的家长会形式，特别是进岗前家长会，家长到会率高达90%以上，取得了良好效果。本年度2次邀请家委会成员观摩学校的品牌德育活动，促进家长对学校教育教学活动的认可与支持。</w:t>
      </w:r>
    </w:p>
    <w:p>
      <w:pPr>
        <w:pStyle w:val="3"/>
        <w:keepNext w:val="0"/>
        <w:keepLines w:val="0"/>
        <w:adjustRightInd w:val="0"/>
        <w:snapToGrid w:val="0"/>
        <w:spacing w:line="360" w:lineRule="auto"/>
        <w:ind w:firstLine="482" w:firstLineChars="200"/>
        <w:rPr>
          <w:rFonts w:ascii="黑体" w:hAnsi="黑体"/>
          <w:sz w:val="24"/>
        </w:rPr>
      </w:pPr>
      <w:r>
        <w:rPr>
          <w:rFonts w:hint="eastAsia" w:ascii="黑体" w:hAnsi="黑体"/>
          <w:sz w:val="24"/>
        </w:rPr>
        <w:t>3.4.3财务管理</w:t>
      </w:r>
      <w:bookmarkEnd w:id="38"/>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学校财务由主管部门卫健局按照事业单位财务制度统一管理。学校整体财务工作由校长统领，分管副校长具体负责，学校设计划财务处，计划财务处长全面负责学校财务的日常工作。</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计划财务处设置岗位有复核会计、记账会计、出纳会计及学校一卡通充值员共</w:t>
      </w:r>
      <w:r>
        <w:rPr>
          <w:rFonts w:ascii="宋体" w:hAnsi="宋体" w:cs="宋体"/>
          <w:sz w:val="24"/>
        </w:rPr>
        <w:t>4</w:t>
      </w:r>
      <w:r>
        <w:rPr>
          <w:rFonts w:hint="eastAsia" w:ascii="宋体" w:hAnsi="宋体" w:cs="宋体"/>
          <w:sz w:val="24"/>
        </w:rPr>
        <w:t>名，负责本校经费的收支管理、财务管理、会计核算、教育统计上报等工作。财务工作在学校内部控制管理体系内运行，全面实施规范化、制度化管理，建立科学运行机制，健全完善管理制度，规范操作流程，严守财经纪律。</w:t>
      </w:r>
    </w:p>
    <w:p>
      <w:pPr>
        <w:autoSpaceDE w:val="0"/>
        <w:autoSpaceDN w:val="0"/>
        <w:adjustRightInd w:val="0"/>
        <w:spacing w:line="360" w:lineRule="auto"/>
        <w:ind w:firstLine="480" w:firstLineChars="200"/>
        <w:jc w:val="left"/>
        <w:rPr>
          <w:rFonts w:ascii="宋体" w:cs="宋体"/>
          <w:sz w:val="24"/>
        </w:rPr>
      </w:pPr>
      <w:r>
        <w:rPr>
          <w:rFonts w:hint="eastAsia" w:ascii="宋体" w:hAnsi="宋体" w:cs="宋体"/>
          <w:sz w:val="24"/>
        </w:rPr>
        <w:t>定期召开教职工代表大会，审议学校年度财务工作报告，接受市卫生健康局、教育局、财政和审计局的指导、检查和监督，定期及时报送财务报告，按要求编制经费预决算，建立健全经费收支财产账册和固定资产账册，规范票据管理及会计信息资料建设与管理。</w:t>
      </w:r>
    </w:p>
    <w:p>
      <w:pPr>
        <w:pStyle w:val="3"/>
        <w:keepNext w:val="0"/>
        <w:keepLines w:val="0"/>
        <w:adjustRightInd w:val="0"/>
        <w:snapToGrid w:val="0"/>
        <w:spacing w:line="360" w:lineRule="auto"/>
        <w:ind w:firstLine="482" w:firstLineChars="200"/>
        <w:rPr>
          <w:rFonts w:ascii="黑体" w:hAnsi="黑体"/>
          <w:sz w:val="24"/>
        </w:rPr>
      </w:pPr>
      <w:bookmarkStart w:id="39" w:name="_Toc471905927"/>
      <w:bookmarkStart w:id="40" w:name="_Toc471905928"/>
      <w:r>
        <w:rPr>
          <w:rFonts w:hint="eastAsia" w:ascii="黑体" w:hAnsi="黑体"/>
          <w:sz w:val="24"/>
        </w:rPr>
        <w:t>3.4.4后勤管理</w:t>
      </w:r>
      <w:bookmarkEnd w:id="39"/>
    </w:p>
    <w:p>
      <w:pPr>
        <w:pStyle w:val="3"/>
        <w:keepNext w:val="0"/>
        <w:keepLines w:val="0"/>
        <w:adjustRightInd w:val="0"/>
        <w:snapToGrid w:val="0"/>
        <w:spacing w:line="360" w:lineRule="auto"/>
        <w:ind w:firstLine="480" w:firstLineChars="200"/>
        <w:rPr>
          <w:rFonts w:cs="宋体" w:asciiTheme="minorEastAsia" w:hAnsiTheme="minorEastAsia" w:eastAsiaTheme="minorEastAsia"/>
          <w:b w:val="0"/>
          <w:sz w:val="24"/>
        </w:rPr>
      </w:pPr>
      <w:r>
        <w:rPr>
          <w:rFonts w:hint="eastAsia" w:cs="宋体" w:asciiTheme="minorEastAsia" w:hAnsiTheme="minorEastAsia" w:eastAsiaTheme="minorEastAsia"/>
          <w:b w:val="0"/>
          <w:sz w:val="24"/>
        </w:rPr>
        <w:t>学校设置有总务处，总务处长全面负责后勤保障工作，另有副处长、科员、水电维修工、仓库保管员、计算机及网络管理员等共11名工作人员。总务处围绕“后勤工作必须服务于教育教学为中心”这一思想积极开展工作，做好校舍及教育教学设施的日常维修保养、物资采购供应、工程建设管理、固定资产登记管理等工作。贯彻“安全、高效、主动、节约、绩效、奉献、廉洁”工作理念，工作过程中注重规范化、制度化、程序化，按照政府采购程序和《海宁卫生学校物资采购管理制度》，依托采购、验收、监督三个小组开展物资采购、工程管理等工作，确保相互监督、规范廉洁。加强学校信息化建设，教学设备、生活设施逐步向智能化发展，建立智慧型后勤管理体系。</w:t>
      </w:r>
    </w:p>
    <w:p>
      <w:pPr>
        <w:pStyle w:val="3"/>
        <w:keepNext w:val="0"/>
        <w:keepLines w:val="0"/>
        <w:adjustRightInd w:val="0"/>
        <w:snapToGrid w:val="0"/>
        <w:spacing w:line="360" w:lineRule="auto"/>
        <w:ind w:firstLine="482" w:firstLineChars="200"/>
        <w:rPr>
          <w:rFonts w:ascii="黑体" w:hAnsi="黑体"/>
          <w:sz w:val="24"/>
        </w:rPr>
      </w:pPr>
      <w:r>
        <w:rPr>
          <w:rFonts w:hint="eastAsia" w:ascii="黑体" w:hAnsi="黑体"/>
          <w:sz w:val="24"/>
        </w:rPr>
        <w:t>3.4.5安全管理</w:t>
      </w:r>
      <w:bookmarkEnd w:id="40"/>
    </w:p>
    <w:p>
      <w:pPr>
        <w:autoSpaceDE w:val="0"/>
        <w:autoSpaceDN w:val="0"/>
        <w:adjustRightInd w:val="0"/>
        <w:spacing w:line="360" w:lineRule="auto"/>
        <w:ind w:firstLine="480" w:firstLineChars="200"/>
        <w:jc w:val="left"/>
        <w:rPr>
          <w:rFonts w:cs="宋体" w:asciiTheme="minorEastAsia" w:hAnsiTheme="minorEastAsia" w:eastAsiaTheme="minorEastAsia"/>
          <w:sz w:val="24"/>
        </w:rPr>
      </w:pPr>
      <w:bookmarkStart w:id="41" w:name="_Toc471905929"/>
      <w:r>
        <w:rPr>
          <w:rFonts w:hint="eastAsia" w:cs="宋体" w:asciiTheme="minorEastAsia" w:hAnsiTheme="minorEastAsia" w:eastAsiaTheme="minorEastAsia"/>
          <w:sz w:val="24"/>
        </w:rPr>
        <w:t>学校以创建省级文明单位为目标，始终将安全放在首位，强化师生安全意识，树立“以人为本，安全第一”的理念。学校成立了由校长统领的各类安全领导小组，设有落实学校具体安全工作的职能处室——保卫处（综治室、安全办公室），保卫处建立了涵盖教育教学、后勤管理、生活保障等横向到边、纵向到底的全方位网格化安全体系并开展具体的安全工作，同时配合学工、教务、团委、校办、总务等相关部门，积极推行全员育人，保障学生身心健康和人身安全。以安全宣传教育常规化、隐患排查治理常态化，着力推进“平安校园”建设，确保学校安全工作规范化、制度化、科学化。</w:t>
      </w:r>
    </w:p>
    <w:p>
      <w:pPr>
        <w:autoSpaceDE w:val="0"/>
        <w:autoSpaceDN w:val="0"/>
        <w:adjustRightIn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2019年度，学校继续加大安全方面的投入，以市重点消防单位的要求完善和更新全校所有消防设施设备，提升微型消防站的等级，并定期开展消防培训和演练。学校实行全封闭管理，严格管理师生进出，来访人员严格执行访客登记，完善学校周边交通设施，校门前按“Z”字型摆放防冲撞石墩，加固加高学校周界防护物理网，传达室临街安装上防暴窗，校内安装了防火、防震、防袭、防空“四声报警器”，增加、调整、完善室内外全彩高清监控，调整学校应急小分队并完善了公共、个人防护装备，生活区窗户安装限位器，增设了张力式电子围栏，食堂引进了AI智能管理系统，进一步提升物防、技防水准，同时完善各类安全应急预案，开展各类安全培训和演练，提升人防和制度防水准，真正做到“人防、物防、技防和制度防”四防合一。在上级各部门的正确领导和大力支持下，学校保卫处一如既往做好安全工作，继续保持嘉兴市文明单位、海宁市5A级“平安校园”等称号。</w:t>
      </w:r>
    </w:p>
    <w:p>
      <w:pPr>
        <w:adjustRightInd w:val="0"/>
        <w:snapToGrid w:val="0"/>
        <w:spacing w:line="360" w:lineRule="auto"/>
        <w:ind w:firstLine="482" w:firstLineChars="200"/>
        <w:outlineLvl w:val="1"/>
        <w:rPr>
          <w:rFonts w:ascii="黑体" w:hAnsi="黑体" w:eastAsia="黑体"/>
          <w:b/>
          <w:sz w:val="24"/>
        </w:rPr>
      </w:pPr>
      <w:r>
        <w:rPr>
          <w:rFonts w:hint="eastAsia" w:ascii="黑体" w:hAnsi="黑体" w:eastAsia="黑体"/>
          <w:b/>
          <w:sz w:val="24"/>
        </w:rPr>
        <w:t>3.4.6科研管理</w:t>
      </w:r>
      <w:bookmarkEnd w:id="41"/>
    </w:p>
    <w:p>
      <w:pPr>
        <w:autoSpaceDE w:val="0"/>
        <w:autoSpaceDN w:val="0"/>
        <w:adjustRightInd w:val="0"/>
        <w:spacing w:line="360" w:lineRule="auto"/>
        <w:ind w:firstLine="480" w:firstLineChars="200"/>
        <w:jc w:val="left"/>
        <w:rPr>
          <w:rFonts w:cs="宋体" w:asciiTheme="minorEastAsia" w:hAnsiTheme="minorEastAsia" w:eastAsiaTheme="minorEastAsia"/>
          <w:sz w:val="24"/>
        </w:rPr>
      </w:pPr>
      <w:bookmarkStart w:id="42" w:name="_Toc471905930"/>
      <w:r>
        <w:rPr>
          <w:rFonts w:hint="eastAsia" w:cs="宋体" w:asciiTheme="minorEastAsia" w:hAnsiTheme="minorEastAsia" w:eastAsiaTheme="minorEastAsia"/>
          <w:sz w:val="24"/>
        </w:rPr>
        <w:t>学校非常重视教科研工作，牢固树立“以研促教，科研兴校”意识，通过建立教研、科研相关规章制度和激励措施，鼓励教师积极参加教科研工作，实行教科研工作规范化管理。完善《教育科研工作管理办法》，优化教科研奖励机制，将教师教科研完成情况作为教职工年度考核、评优、晋升的重要参考，努力营造良好教科研氛围。认真制定年度教科研计划，编制校、专业组、个人三个不同层级的课题网，逐步建立完善“自诊-互诊-领诊”三诊合参的学校特色科研模式。</w:t>
      </w:r>
    </w:p>
    <w:p>
      <w:pPr>
        <w:autoSpaceDE w:val="0"/>
        <w:autoSpaceDN w:val="0"/>
        <w:adjustRightIn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教师勤于钻研，认真总结教学研究成果。一年来，在省级以上期刊发表论文9篇，52篇论文在各级教育部门的评比中获奖。教科研成果丰硕，2019年共立项省级课题3项，嘉兴市级课题5项，海宁市级课题7项，共有17项课题结题，4项获嘉兴市教科研优秀成果奖，其中一等奖2项，10项获得海宁市级优秀成果奖。提高了我校的教学质量和办学品位，增强了学校的知名度。</w:t>
      </w:r>
    </w:p>
    <w:p>
      <w:pPr>
        <w:spacing w:line="360" w:lineRule="auto"/>
        <w:ind w:firstLine="482" w:firstLineChars="20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表7：2019年度学校教师教学科研情况汇总表</w:t>
      </w:r>
    </w:p>
    <w:tbl>
      <w:tblPr>
        <w:tblStyle w:val="14"/>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27"/>
        <w:gridCol w:w="938"/>
        <w:gridCol w:w="937"/>
        <w:gridCol w:w="992"/>
        <w:gridCol w:w="915"/>
        <w:gridCol w:w="993"/>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782"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发表论文</w:t>
            </w:r>
          </w:p>
        </w:tc>
        <w:tc>
          <w:tcPr>
            <w:tcW w:w="1875" w:type="dxa"/>
            <w:gridSpan w:val="2"/>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获奖论文</w:t>
            </w:r>
          </w:p>
        </w:tc>
        <w:tc>
          <w:tcPr>
            <w:tcW w:w="2900" w:type="dxa"/>
            <w:gridSpan w:val="3"/>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教学比赛奖</w:t>
            </w:r>
          </w:p>
        </w:tc>
        <w:tc>
          <w:tcPr>
            <w:tcW w:w="2977" w:type="dxa"/>
            <w:gridSpan w:val="3"/>
            <w:vAlign w:val="center"/>
          </w:tcPr>
          <w:p>
            <w:pPr>
              <w:widowControl/>
              <w:jc w:val="center"/>
              <w:rPr>
                <w:rFonts w:ascii="仿宋" w:hAnsi="仿宋" w:eastAsia="仿宋" w:cs="仿宋"/>
                <w:kern w:val="0"/>
                <w:sz w:val="24"/>
              </w:rPr>
            </w:pPr>
            <w:r>
              <w:rPr>
                <w:rFonts w:hint="eastAsia" w:ascii="仿宋" w:hAnsi="仿宋" w:eastAsia="仿宋" w:cs="仿宋"/>
                <w:kern w:val="0"/>
                <w:sz w:val="24"/>
              </w:rPr>
              <w:t>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55" w:type="dxa"/>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核心刊物</w:t>
            </w:r>
          </w:p>
        </w:tc>
        <w:tc>
          <w:tcPr>
            <w:tcW w:w="927" w:type="dxa"/>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一般刊物</w:t>
            </w:r>
          </w:p>
        </w:tc>
        <w:tc>
          <w:tcPr>
            <w:tcW w:w="938" w:type="dxa"/>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市级</w:t>
            </w:r>
          </w:p>
        </w:tc>
        <w:tc>
          <w:tcPr>
            <w:tcW w:w="937" w:type="dxa"/>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县级</w:t>
            </w:r>
          </w:p>
        </w:tc>
        <w:tc>
          <w:tcPr>
            <w:tcW w:w="992" w:type="dxa"/>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国家级</w:t>
            </w:r>
          </w:p>
        </w:tc>
        <w:tc>
          <w:tcPr>
            <w:tcW w:w="915" w:type="dxa"/>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省级</w:t>
            </w:r>
          </w:p>
        </w:tc>
        <w:tc>
          <w:tcPr>
            <w:tcW w:w="993"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市级</w:t>
            </w:r>
          </w:p>
        </w:tc>
        <w:tc>
          <w:tcPr>
            <w:tcW w:w="992"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省级</w:t>
            </w:r>
          </w:p>
        </w:tc>
        <w:tc>
          <w:tcPr>
            <w:tcW w:w="992" w:type="dxa"/>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市级</w:t>
            </w:r>
          </w:p>
        </w:tc>
        <w:tc>
          <w:tcPr>
            <w:tcW w:w="993"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55" w:type="dxa"/>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927" w:type="dxa"/>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7</w:t>
            </w:r>
          </w:p>
        </w:tc>
        <w:tc>
          <w:tcPr>
            <w:tcW w:w="938" w:type="dxa"/>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24</w:t>
            </w:r>
          </w:p>
        </w:tc>
        <w:tc>
          <w:tcPr>
            <w:tcW w:w="937" w:type="dxa"/>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28</w:t>
            </w:r>
          </w:p>
        </w:tc>
        <w:tc>
          <w:tcPr>
            <w:tcW w:w="992" w:type="dxa"/>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915" w:type="dxa"/>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993"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14</w:t>
            </w:r>
          </w:p>
        </w:tc>
        <w:tc>
          <w:tcPr>
            <w:tcW w:w="992"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992" w:type="dxa"/>
            <w:shd w:val="clear" w:color="auto" w:fill="auto"/>
            <w:vAlign w:val="center"/>
          </w:tcPr>
          <w:p>
            <w:pPr>
              <w:widowControl/>
              <w:jc w:val="center"/>
              <w:rPr>
                <w:rFonts w:ascii="仿宋" w:hAnsi="仿宋" w:eastAsia="仿宋" w:cs="仿宋"/>
                <w:kern w:val="0"/>
                <w:sz w:val="24"/>
              </w:rPr>
            </w:pPr>
            <w:r>
              <w:rPr>
                <w:rFonts w:hint="eastAsia" w:ascii="仿宋" w:hAnsi="仿宋" w:eastAsia="仿宋" w:cs="仿宋"/>
                <w:kern w:val="0"/>
                <w:sz w:val="24"/>
              </w:rPr>
              <w:t>12</w:t>
            </w:r>
          </w:p>
        </w:tc>
        <w:tc>
          <w:tcPr>
            <w:tcW w:w="993"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16</w:t>
            </w:r>
          </w:p>
        </w:tc>
      </w:tr>
    </w:tbl>
    <w:p>
      <w:pPr>
        <w:pStyle w:val="3"/>
        <w:keepNext w:val="0"/>
        <w:keepLines w:val="0"/>
        <w:adjustRightInd w:val="0"/>
        <w:snapToGrid w:val="0"/>
        <w:spacing w:line="360" w:lineRule="auto"/>
        <w:ind w:firstLine="482" w:firstLineChars="200"/>
        <w:rPr>
          <w:rFonts w:ascii="黑体" w:hAnsi="黑体"/>
          <w:sz w:val="24"/>
        </w:rPr>
      </w:pPr>
      <w:r>
        <w:rPr>
          <w:rFonts w:hint="eastAsia" w:ascii="黑体" w:hAnsi="黑体"/>
          <w:sz w:val="24"/>
        </w:rPr>
        <w:t>3.4.7管理队伍建设</w:t>
      </w:r>
      <w:bookmarkEnd w:id="42"/>
    </w:p>
    <w:p>
      <w:pPr>
        <w:adjustRightInd w:val="0"/>
        <w:snapToGrid w:val="0"/>
        <w:spacing w:line="360" w:lineRule="auto"/>
        <w:ind w:firstLine="480" w:firstLineChars="200"/>
        <w:rPr>
          <w:rFonts w:ascii="宋体" w:hAnsi="宋体" w:cs="宋体"/>
          <w:sz w:val="24"/>
        </w:rPr>
      </w:pPr>
      <w:r>
        <w:rPr>
          <w:rFonts w:hint="eastAsia" w:ascii="宋体" w:hAnsi="宋体" w:cs="宋体"/>
          <w:sz w:val="24"/>
        </w:rPr>
        <w:t>学校有行政工作和教学业务两条管理线，不断完善组织保障体系及运行机制，加强党、青、工、妇、学等组织建设，健全学校组织机构。行政工作线设有校长办公室、教务、学工、招生、就业、实习实训、督导、项目办、总务、计财、人事、教师发展、保卫、成教等职能处室，教学业务线设有教务处、专业大组（课程组）、教研组等教学业务管理层级，职责明确、分工协作。学校积极探索推行精细化管理，实施全员管理、分级管理，项目管理及目标管理，不断提升管理服务能力。深化人事制度改革，加强中层干部队伍建设，培养任用年轻干部，不断提升工作人员的服务意识和服务水平。</w:t>
      </w:r>
    </w:p>
    <w:p>
      <w:pPr>
        <w:pStyle w:val="3"/>
        <w:keepNext w:val="0"/>
        <w:keepLines w:val="0"/>
        <w:adjustRightInd w:val="0"/>
        <w:snapToGrid w:val="0"/>
        <w:spacing w:line="360" w:lineRule="auto"/>
        <w:ind w:firstLine="482" w:firstLineChars="200"/>
        <w:rPr>
          <w:rFonts w:ascii="黑体" w:hAnsi="黑体"/>
          <w:sz w:val="24"/>
        </w:rPr>
      </w:pPr>
      <w:r>
        <w:rPr>
          <w:rFonts w:hint="eastAsia" w:ascii="黑体" w:hAnsi="黑体"/>
          <w:sz w:val="24"/>
        </w:rPr>
        <w:t xml:space="preserve">3.4.8管理信息化水平                      </w:t>
      </w:r>
    </w:p>
    <w:p>
      <w:pPr>
        <w:widowControl/>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学校建有海宁卫生学校官网（hnwx.zjhnedu.cn），充分利用钉钉办公系统、智慧校园、</w:t>
      </w:r>
      <w:r>
        <w:rPr>
          <w:rFonts w:cs="宋体" w:asciiTheme="minorEastAsia" w:hAnsiTheme="minorEastAsia" w:eastAsiaTheme="minorEastAsia"/>
          <w:sz w:val="24"/>
        </w:rPr>
        <w:t>之江汇教育广场</w:t>
      </w:r>
      <w:r>
        <w:rPr>
          <w:rFonts w:hint="eastAsia" w:cs="宋体" w:asciiTheme="minorEastAsia" w:hAnsiTheme="minorEastAsia" w:eastAsiaTheme="minorEastAsia"/>
          <w:sz w:val="24"/>
        </w:rPr>
        <w:t>平台等提升学校信息化水平。之江汇教育广场即浙江省教育资源公共服务平台，是公益性教育资源平台，里面有非常丰富的教育资源，较好地满足了学校日常信息化管理需求，实现了教师信息化教学资源的共享和学生在线学习，有效拓展学习的时间和空间，提升了学习的效率。2019年教师全年空间活跃度优秀率达96.8%。</w:t>
      </w:r>
    </w:p>
    <w:bookmarkEnd w:id="24"/>
    <w:p>
      <w:pPr>
        <w:pStyle w:val="3"/>
        <w:keepNext w:val="0"/>
        <w:keepLines w:val="0"/>
        <w:adjustRightInd w:val="0"/>
        <w:snapToGrid w:val="0"/>
        <w:spacing w:line="360" w:lineRule="auto"/>
        <w:ind w:firstLine="560" w:firstLineChars="200"/>
        <w:rPr>
          <w:b w:val="0"/>
          <w:sz w:val="28"/>
          <w:szCs w:val="28"/>
        </w:rPr>
      </w:pPr>
      <w:bookmarkStart w:id="43" w:name="_Toc471905932"/>
      <w:bookmarkStart w:id="44" w:name="OLE_LINK13"/>
      <w:bookmarkStart w:id="45" w:name="_Toc471905940"/>
      <w:r>
        <w:rPr>
          <w:rFonts w:hint="eastAsia"/>
          <w:b w:val="0"/>
          <w:sz w:val="28"/>
          <w:szCs w:val="28"/>
        </w:rPr>
        <w:t>3.5德育工作</w:t>
      </w:r>
      <w:bookmarkEnd w:id="43"/>
    </w:p>
    <w:p>
      <w:pPr>
        <w:pStyle w:val="3"/>
        <w:keepNext w:val="0"/>
        <w:keepLines w:val="0"/>
        <w:adjustRightInd w:val="0"/>
        <w:snapToGrid w:val="0"/>
        <w:spacing w:line="360" w:lineRule="auto"/>
        <w:ind w:firstLine="482" w:firstLineChars="200"/>
        <w:rPr>
          <w:rFonts w:ascii="黑体" w:hAnsi="黑体"/>
          <w:sz w:val="24"/>
        </w:rPr>
      </w:pPr>
      <w:bookmarkStart w:id="46" w:name="_Toc471905933"/>
      <w:r>
        <w:rPr>
          <w:rFonts w:hint="eastAsia" w:ascii="黑体" w:hAnsi="黑体"/>
          <w:sz w:val="24"/>
        </w:rPr>
        <w:t>3.5.1德育课实施情况</w:t>
      </w:r>
      <w:bookmarkEnd w:id="46"/>
    </w:p>
    <w:p>
      <w:pPr>
        <w:pStyle w:val="3"/>
        <w:keepNext w:val="0"/>
        <w:keepLines w:val="0"/>
        <w:adjustRightInd w:val="0"/>
        <w:snapToGrid w:val="0"/>
        <w:spacing w:line="360" w:lineRule="auto"/>
        <w:ind w:firstLine="480" w:firstLineChars="200"/>
        <w:rPr>
          <w:rFonts w:ascii="宋体" w:hAnsi="宋体" w:eastAsia="宋体"/>
          <w:b w:val="0"/>
          <w:sz w:val="24"/>
        </w:rPr>
      </w:pPr>
      <w:bookmarkStart w:id="47" w:name="_Toc471905457"/>
      <w:bookmarkStart w:id="48" w:name="_Toc471905934"/>
      <w:bookmarkStart w:id="49" w:name="_Toc471905935"/>
      <w:r>
        <w:rPr>
          <w:rFonts w:hint="eastAsia" w:ascii="宋体" w:hAnsi="宋体" w:eastAsia="宋体" w:cs="宋体"/>
          <w:b w:val="0"/>
          <w:sz w:val="24"/>
        </w:rPr>
        <w:t>学校严格按照教育部门中职学校德育课开设要求，规范开设了职业生涯规划、思想道德与法律基础、哲学与人生</w:t>
      </w:r>
      <w:r>
        <w:rPr>
          <w:rFonts w:ascii="宋体" w:hAnsi="宋体" w:eastAsia="宋体" w:cs="宋体"/>
          <w:b w:val="0"/>
          <w:sz w:val="24"/>
        </w:rPr>
        <w:t xml:space="preserve"> </w:t>
      </w:r>
      <w:r>
        <w:rPr>
          <w:rFonts w:hint="eastAsia" w:ascii="宋体" w:hAnsi="宋体" w:eastAsia="宋体" w:cs="宋体"/>
          <w:b w:val="0"/>
          <w:sz w:val="24"/>
        </w:rPr>
        <w:t>、社会政治与经济等德育课程，分四学期开设，每周</w:t>
      </w:r>
      <w:r>
        <w:rPr>
          <w:rFonts w:ascii="宋体" w:hAnsi="宋体" w:eastAsia="宋体" w:cs="宋体"/>
          <w:b w:val="0"/>
          <w:sz w:val="24"/>
        </w:rPr>
        <w:t>2</w:t>
      </w:r>
      <w:r>
        <w:rPr>
          <w:rFonts w:hint="eastAsia" w:ascii="宋体" w:hAnsi="宋体" w:eastAsia="宋体" w:cs="宋体"/>
          <w:b w:val="0"/>
          <w:sz w:val="24"/>
        </w:rPr>
        <w:t>课时，每学期</w:t>
      </w:r>
      <w:r>
        <w:rPr>
          <w:rFonts w:ascii="宋体" w:hAnsi="宋体" w:eastAsia="宋体" w:cs="宋体"/>
          <w:b w:val="0"/>
          <w:sz w:val="24"/>
        </w:rPr>
        <w:t>36</w:t>
      </w:r>
      <w:r>
        <w:rPr>
          <w:rFonts w:hint="eastAsia" w:ascii="宋体" w:hAnsi="宋体" w:eastAsia="宋体" w:cs="宋体"/>
          <w:b w:val="0"/>
          <w:sz w:val="24"/>
        </w:rPr>
        <w:t>课时，共计</w:t>
      </w:r>
      <w:r>
        <w:rPr>
          <w:rFonts w:ascii="宋体" w:hAnsi="宋体" w:eastAsia="宋体" w:cs="宋体"/>
          <w:b w:val="0"/>
          <w:sz w:val="24"/>
        </w:rPr>
        <w:t>8</w:t>
      </w:r>
      <w:r>
        <w:rPr>
          <w:rFonts w:hint="eastAsia" w:ascii="宋体" w:hAnsi="宋体" w:eastAsia="宋体" w:cs="宋体"/>
          <w:b w:val="0"/>
          <w:sz w:val="24"/>
        </w:rPr>
        <w:t>学分。在规范开设的同时，强化德育课程知行合一教学原则，强调课程思政理念，在专业课教学中突出德育渗透，将德育课程与学校专业教学、学生综合素养培养的等教育教学活动紧密结合，取得实效。</w:t>
      </w:r>
      <w:bookmarkEnd w:id="47"/>
      <w:bookmarkEnd w:id="48"/>
    </w:p>
    <w:p>
      <w:pPr>
        <w:pStyle w:val="3"/>
        <w:keepNext w:val="0"/>
        <w:keepLines w:val="0"/>
        <w:adjustRightInd w:val="0"/>
        <w:snapToGrid w:val="0"/>
        <w:spacing w:line="360" w:lineRule="auto"/>
        <w:ind w:firstLine="482" w:firstLineChars="200"/>
        <w:rPr>
          <w:rFonts w:ascii="黑体" w:hAnsi="黑体"/>
          <w:sz w:val="24"/>
        </w:rPr>
      </w:pPr>
      <w:r>
        <w:rPr>
          <w:rFonts w:hint="eastAsia" w:ascii="黑体" w:hAnsi="黑体"/>
          <w:sz w:val="24"/>
        </w:rPr>
        <w:t>3.5.2校园文化建设</w:t>
      </w:r>
      <w:bookmarkEnd w:id="49"/>
    </w:p>
    <w:p>
      <w:pPr>
        <w:widowControl/>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学校始终秉承“勤学、厚德、守纪、文明”的校训，结合中职卫生学校教育教学特色，凝炼形成了以“奉献、重托、品牌”为基因要素的特色“天使文化”，构建了“塑形、育心、铸魂”育人模式，“天使工程”被列为浙江省品牌德育项目。</w:t>
      </w:r>
      <w:r>
        <w:rPr>
          <w:rFonts w:cs="宋体" w:asciiTheme="minorEastAsia" w:hAnsiTheme="minorEastAsia" w:eastAsiaTheme="minorEastAsia"/>
          <w:sz w:val="24"/>
        </w:rPr>
        <w:t xml:space="preserve"> </w:t>
      </w:r>
    </w:p>
    <w:p>
      <w:pPr>
        <w:widowControl/>
        <w:tabs>
          <w:tab w:val="center" w:pos="5113"/>
        </w:tabs>
        <w:snapToGrid w:val="0"/>
        <w:spacing w:line="360" w:lineRule="auto"/>
        <w:ind w:firstLine="482" w:firstLineChars="200"/>
        <w:jc w:val="left"/>
        <w:rPr>
          <w:rFonts w:cs="宋体" w:asciiTheme="minorEastAsia" w:hAnsiTheme="minorEastAsia" w:eastAsiaTheme="minorEastAsia"/>
          <w:sz w:val="24"/>
        </w:rPr>
      </w:pPr>
      <w:r>
        <w:rPr>
          <w:rFonts w:hint="eastAsia" w:cs="宋体" w:asciiTheme="minorEastAsia" w:hAnsiTheme="minorEastAsia" w:eastAsiaTheme="minorEastAsia"/>
          <w:b/>
          <w:sz w:val="24"/>
        </w:rPr>
        <w:t>持续完善“天使文化”载体。</w:t>
      </w:r>
      <w:r>
        <w:rPr>
          <w:rFonts w:cs="宋体" w:asciiTheme="minorEastAsia" w:hAnsiTheme="minorEastAsia" w:eastAsiaTheme="minorEastAsia"/>
          <w:sz w:val="24"/>
        </w:rPr>
        <w:tab/>
      </w:r>
      <w:r>
        <w:rPr>
          <w:rFonts w:hint="eastAsia" w:cs="宋体" w:asciiTheme="minorEastAsia" w:hAnsiTheme="minorEastAsia" w:eastAsiaTheme="minorEastAsia"/>
          <w:sz w:val="24"/>
        </w:rPr>
        <w:t>2019年度进</w:t>
      </w:r>
      <w:r>
        <w:rPr>
          <w:rFonts w:cs="宋体" w:asciiTheme="minorEastAsia" w:hAnsiTheme="minorEastAsia" w:eastAsiaTheme="minorEastAsia"/>
          <w:sz w:val="24"/>
        </w:rPr>
        <w:t>一步</w:t>
      </w:r>
      <w:r>
        <w:rPr>
          <w:rFonts w:hint="eastAsia" w:cs="宋体" w:asciiTheme="minorEastAsia" w:hAnsiTheme="minorEastAsia" w:eastAsiaTheme="minorEastAsia"/>
          <w:sz w:val="24"/>
        </w:rPr>
        <w:t>完善“天使文化”环境载体，推进“天使文化”进三室，更新天使文化长廊、护理实训室文化、5号宿舍楼寝室文化；打造了1</w:t>
      </w:r>
      <w:r>
        <w:rPr>
          <w:rFonts w:cs="宋体" w:asciiTheme="minorEastAsia" w:hAnsiTheme="minorEastAsia" w:eastAsiaTheme="minorEastAsia"/>
          <w:sz w:val="24"/>
        </w:rPr>
        <w:t>9</w:t>
      </w:r>
      <w:r>
        <w:rPr>
          <w:rFonts w:hint="eastAsia" w:cs="宋体" w:asciiTheme="minorEastAsia" w:hAnsiTheme="minorEastAsia" w:eastAsiaTheme="minorEastAsia"/>
          <w:sz w:val="24"/>
        </w:rPr>
        <w:t>级所</w:t>
      </w:r>
      <w:r>
        <w:rPr>
          <w:rFonts w:cs="宋体" w:asciiTheme="minorEastAsia" w:hAnsiTheme="minorEastAsia" w:eastAsiaTheme="minorEastAsia"/>
          <w:sz w:val="24"/>
        </w:rPr>
        <w:t>有</w:t>
      </w:r>
      <w:r>
        <w:rPr>
          <w:rFonts w:hint="eastAsia" w:cs="宋体" w:asciiTheme="minorEastAsia" w:hAnsiTheme="minorEastAsia" w:eastAsiaTheme="minorEastAsia"/>
          <w:sz w:val="24"/>
        </w:rPr>
        <w:t>班级的班级文化建设，18级</w:t>
      </w:r>
      <w:r>
        <w:rPr>
          <w:rFonts w:cs="宋体" w:asciiTheme="minorEastAsia" w:hAnsiTheme="minorEastAsia" w:eastAsiaTheme="minorEastAsia"/>
          <w:sz w:val="24"/>
        </w:rPr>
        <w:t>“</w:t>
      </w:r>
      <w:r>
        <w:rPr>
          <w:rFonts w:hint="eastAsia" w:cs="宋体" w:asciiTheme="minorEastAsia" w:hAnsiTheme="minorEastAsia" w:eastAsiaTheme="minorEastAsia"/>
          <w:sz w:val="24"/>
        </w:rPr>
        <w:t>一班一品</w:t>
      </w:r>
      <w:r>
        <w:rPr>
          <w:rFonts w:cs="宋体" w:asciiTheme="minorEastAsia" w:hAnsiTheme="minorEastAsia" w:eastAsiaTheme="minorEastAsia"/>
          <w:sz w:val="24"/>
        </w:rPr>
        <w:t>”</w:t>
      </w:r>
      <w:r>
        <w:rPr>
          <w:rFonts w:hint="eastAsia" w:cs="宋体" w:asciiTheme="minorEastAsia" w:hAnsiTheme="minorEastAsia" w:eastAsiaTheme="minorEastAsia"/>
          <w:sz w:val="24"/>
        </w:rPr>
        <w:t>班级</w:t>
      </w:r>
      <w:r>
        <w:rPr>
          <w:rFonts w:cs="宋体" w:asciiTheme="minorEastAsia" w:hAnsiTheme="minorEastAsia" w:eastAsiaTheme="minorEastAsia"/>
          <w:sz w:val="24"/>
        </w:rPr>
        <w:t>特色文化建设，</w:t>
      </w:r>
      <w:r>
        <w:rPr>
          <w:rFonts w:hint="eastAsia" w:cs="宋体" w:asciiTheme="minorEastAsia" w:hAnsiTheme="minorEastAsia" w:eastAsiaTheme="minorEastAsia"/>
          <w:sz w:val="24"/>
        </w:rPr>
        <w:t>为学生营造一个温馨和谐的学习生活环境。举办职业素质形象大赛、201</w:t>
      </w:r>
      <w:r>
        <w:rPr>
          <w:rFonts w:cs="宋体" w:asciiTheme="minorEastAsia" w:hAnsiTheme="minorEastAsia" w:eastAsiaTheme="minorEastAsia"/>
          <w:sz w:val="24"/>
        </w:rPr>
        <w:t>7</w:t>
      </w:r>
      <w:r>
        <w:rPr>
          <w:rFonts w:hint="eastAsia" w:cs="宋体" w:asciiTheme="minorEastAsia" w:hAnsiTheme="minorEastAsia" w:eastAsiaTheme="minorEastAsia"/>
          <w:sz w:val="24"/>
        </w:rPr>
        <w:t>级护理专业护生“南丁格尔”传光授帽仪式等以专业为特色的一系列活动，夯实学生的文化底蕴，提升职业素养。</w:t>
      </w:r>
    </w:p>
    <w:p>
      <w:pPr>
        <w:widowControl/>
        <w:tabs>
          <w:tab w:val="center" w:pos="5113"/>
        </w:tabs>
        <w:snapToGrid w:val="0"/>
        <w:spacing w:line="360" w:lineRule="auto"/>
        <w:ind w:firstLine="482" w:firstLineChars="200"/>
        <w:jc w:val="left"/>
        <w:rPr>
          <w:rFonts w:cs="宋体" w:asciiTheme="minorEastAsia" w:hAnsiTheme="minorEastAsia" w:eastAsiaTheme="minorEastAsia"/>
          <w:sz w:val="24"/>
        </w:rPr>
      </w:pPr>
      <w:r>
        <w:rPr>
          <w:rFonts w:hint="eastAsia" w:cs="宋体" w:asciiTheme="minorEastAsia" w:hAnsiTheme="minorEastAsia" w:eastAsiaTheme="minorEastAsia"/>
          <w:b/>
          <w:sz w:val="24"/>
        </w:rPr>
        <w:t>推进“天使文化”育人模式。</w:t>
      </w:r>
      <w:r>
        <w:rPr>
          <w:rFonts w:hint="eastAsia" w:cs="宋体" w:asciiTheme="minorEastAsia" w:hAnsiTheme="minorEastAsia" w:eastAsiaTheme="minorEastAsia"/>
          <w:sz w:val="24"/>
        </w:rPr>
        <w:t>继续推进“塑形、育心、铸魂”为路径的“天使育人工程”。将日常7S标准化管理与心理健康融合，建立学生“三自律”体系，即仪表自律提精神，言行自律展文明，情绪自律增修养。通过主题教育炼四心、天使讲堂扬正气、志愿活动献爱心三个维度将“爱心、细心、耐心、责任心”融入到日常的教育教学活动中，引导学生在实践中增强职业素养，培育奉献之心。以学业发展为主线，通过职业文化分层递进教育，一年级专业启蒙，职业体验树理想；二年级职业规划，选择方向定信念；三年级岗位实践，服务社会守信仰。培育具有坚定职业信念的 “天使之魂”。</w:t>
      </w:r>
    </w:p>
    <w:p>
      <w:pPr>
        <w:spacing w:line="360" w:lineRule="auto"/>
        <w:ind w:firstLine="241" w:firstLineChars="10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表8：各类学生竞赛</w:t>
      </w:r>
      <w:r>
        <w:rPr>
          <w:rFonts w:hint="eastAsia" w:ascii="宋体" w:hAnsi="宋体"/>
          <w:b/>
          <w:sz w:val="24"/>
        </w:rPr>
        <w:t>开展情况汇总表</w:t>
      </w:r>
    </w:p>
    <w:tbl>
      <w:tblPr>
        <w:tblStyle w:val="14"/>
        <w:tblW w:w="9654" w:type="dxa"/>
        <w:tblInd w:w="0" w:type="dxa"/>
        <w:tblLayout w:type="fixed"/>
        <w:tblCellMar>
          <w:top w:w="15" w:type="dxa"/>
          <w:left w:w="15" w:type="dxa"/>
          <w:bottom w:w="15" w:type="dxa"/>
          <w:right w:w="15" w:type="dxa"/>
        </w:tblCellMar>
      </w:tblPr>
      <w:tblGrid>
        <w:gridCol w:w="2567"/>
        <w:gridCol w:w="1417"/>
        <w:gridCol w:w="1418"/>
        <w:gridCol w:w="1559"/>
        <w:gridCol w:w="2693"/>
      </w:tblGrid>
      <w:tr>
        <w:tblPrEx>
          <w:tblLayout w:type="fixed"/>
          <w:tblCellMar>
            <w:top w:w="15" w:type="dxa"/>
            <w:left w:w="15" w:type="dxa"/>
            <w:bottom w:w="15" w:type="dxa"/>
            <w:right w:w="15" w:type="dxa"/>
          </w:tblCellMar>
        </w:tblPrEx>
        <w:trPr>
          <w:trHeight w:val="454"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rPr>
            </w:pPr>
            <w:r>
              <w:rPr>
                <w:rFonts w:hint="eastAsia" w:ascii="仿宋" w:hAnsi="仿宋" w:eastAsia="仿宋"/>
                <w:sz w:val="24"/>
              </w:rPr>
              <w:t>项目</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rPr>
            </w:pPr>
            <w:r>
              <w:rPr>
                <w:rFonts w:hint="eastAsia" w:ascii="仿宋" w:hAnsi="仿宋" w:eastAsia="仿宋"/>
                <w:sz w:val="24"/>
              </w:rPr>
              <w:t>参赛人数</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作品总量</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报送数量</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获奖</w:t>
            </w:r>
          </w:p>
        </w:tc>
      </w:tr>
      <w:tr>
        <w:tblPrEx>
          <w:tblLayout w:type="fixed"/>
          <w:tblCellMar>
            <w:top w:w="15" w:type="dxa"/>
            <w:left w:w="15" w:type="dxa"/>
            <w:bottom w:w="15" w:type="dxa"/>
            <w:right w:w="15" w:type="dxa"/>
          </w:tblCellMar>
        </w:tblPrEx>
        <w:trPr>
          <w:trHeight w:val="454"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rPr>
            </w:pPr>
            <w:r>
              <w:rPr>
                <w:rFonts w:hint="eastAsia" w:ascii="仿宋" w:hAnsi="仿宋" w:eastAsia="仿宋"/>
                <w:sz w:val="24"/>
              </w:rPr>
              <w:t>全国职业</w:t>
            </w:r>
            <w:r>
              <w:rPr>
                <w:rFonts w:ascii="仿宋" w:hAnsi="仿宋" w:eastAsia="仿宋"/>
                <w:sz w:val="24"/>
              </w:rPr>
              <w:t>院校技能大赛</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rPr>
            </w:pPr>
            <w:r>
              <w:rPr>
                <w:rFonts w:ascii="仿宋" w:hAnsi="仿宋" w:eastAsia="仿宋"/>
                <w:sz w:val="24"/>
              </w:rPr>
              <w:t>2</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全国</w:t>
            </w:r>
            <w:r>
              <w:rPr>
                <w:rFonts w:ascii="仿宋" w:hAnsi="仿宋" w:eastAsia="仿宋"/>
                <w:sz w:val="24"/>
              </w:rPr>
              <w:t>二等奖（</w:t>
            </w:r>
            <w:r>
              <w:rPr>
                <w:rFonts w:hint="eastAsia" w:ascii="仿宋" w:hAnsi="仿宋" w:eastAsia="仿宋"/>
                <w:sz w:val="24"/>
              </w:rPr>
              <w:t>2人</w:t>
            </w:r>
            <w:r>
              <w:rPr>
                <w:rFonts w:ascii="仿宋" w:hAnsi="仿宋" w:eastAsia="仿宋"/>
                <w:sz w:val="24"/>
              </w:rPr>
              <w:t>）</w:t>
            </w:r>
          </w:p>
        </w:tc>
      </w:tr>
      <w:tr>
        <w:tblPrEx>
          <w:tblLayout w:type="fixed"/>
          <w:tblCellMar>
            <w:top w:w="15" w:type="dxa"/>
            <w:left w:w="15" w:type="dxa"/>
            <w:bottom w:w="15" w:type="dxa"/>
            <w:right w:w="15" w:type="dxa"/>
          </w:tblCellMar>
        </w:tblPrEx>
        <w:trPr>
          <w:trHeight w:val="454"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rPr>
            </w:pPr>
            <w:r>
              <w:rPr>
                <w:rFonts w:hint="eastAsia" w:ascii="仿宋" w:hAnsi="仿宋" w:eastAsia="仿宋"/>
                <w:sz w:val="24"/>
              </w:rPr>
              <w:t>浙江</w:t>
            </w:r>
            <w:r>
              <w:rPr>
                <w:rFonts w:ascii="仿宋" w:hAnsi="仿宋" w:eastAsia="仿宋"/>
                <w:sz w:val="24"/>
              </w:rPr>
              <w:t>省中等职业学校职业能力大赛</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rPr>
            </w:pPr>
            <w:r>
              <w:rPr>
                <w:rFonts w:ascii="仿宋" w:hAnsi="仿宋" w:eastAsia="仿宋"/>
                <w:sz w:val="24"/>
              </w:rPr>
              <w:t>4</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1人</w:t>
            </w:r>
            <w:r>
              <w:rPr>
                <w:rFonts w:ascii="仿宋" w:hAnsi="仿宋" w:eastAsia="仿宋"/>
                <w:sz w:val="24"/>
              </w:rPr>
              <w:t>一等奖、1人二等奖、</w:t>
            </w:r>
            <w:r>
              <w:rPr>
                <w:rFonts w:hint="eastAsia" w:ascii="仿宋" w:hAnsi="仿宋" w:eastAsia="仿宋"/>
                <w:sz w:val="24"/>
              </w:rPr>
              <w:t>2人</w:t>
            </w:r>
            <w:r>
              <w:rPr>
                <w:rFonts w:ascii="仿宋" w:hAnsi="仿宋" w:eastAsia="仿宋"/>
                <w:sz w:val="24"/>
              </w:rPr>
              <w:t>三等奖</w:t>
            </w:r>
          </w:p>
        </w:tc>
      </w:tr>
      <w:tr>
        <w:tblPrEx>
          <w:tblLayout w:type="fixed"/>
          <w:tblCellMar>
            <w:top w:w="15" w:type="dxa"/>
            <w:left w:w="15" w:type="dxa"/>
            <w:bottom w:w="15" w:type="dxa"/>
            <w:right w:w="15" w:type="dxa"/>
          </w:tblCellMar>
        </w:tblPrEx>
        <w:trPr>
          <w:trHeight w:val="454"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rPr>
            </w:pPr>
            <w:r>
              <w:rPr>
                <w:rFonts w:hint="eastAsia" w:ascii="仿宋" w:hAnsi="仿宋" w:eastAsia="仿宋"/>
                <w:sz w:val="24"/>
              </w:rPr>
              <w:t>海宁市</w:t>
            </w:r>
            <w:r>
              <w:rPr>
                <w:rFonts w:ascii="仿宋" w:hAnsi="仿宋" w:eastAsia="仿宋"/>
                <w:sz w:val="24"/>
              </w:rPr>
              <w:t>中小学生美术作品比赛</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rPr>
            </w:pPr>
            <w:r>
              <w:rPr>
                <w:rFonts w:ascii="仿宋" w:hAnsi="仿宋" w:eastAsia="仿宋"/>
                <w:sz w:val="24"/>
              </w:rPr>
              <w:t>10</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海宁市</w:t>
            </w:r>
            <w:r>
              <w:rPr>
                <w:rFonts w:ascii="仿宋" w:hAnsi="仿宋" w:eastAsia="仿宋"/>
                <w:sz w:val="24"/>
              </w:rPr>
              <w:t>三等奖</w:t>
            </w:r>
          </w:p>
        </w:tc>
      </w:tr>
      <w:tr>
        <w:tblPrEx>
          <w:tblLayout w:type="fixed"/>
          <w:tblCellMar>
            <w:top w:w="15" w:type="dxa"/>
            <w:left w:w="15" w:type="dxa"/>
            <w:bottom w:w="15" w:type="dxa"/>
            <w:right w:w="15" w:type="dxa"/>
          </w:tblCellMar>
        </w:tblPrEx>
        <w:trPr>
          <w:trHeight w:val="454"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rPr>
            </w:pPr>
            <w:r>
              <w:rPr>
                <w:rFonts w:hint="eastAsia" w:ascii="仿宋" w:hAnsi="仿宋" w:eastAsia="仿宋"/>
                <w:sz w:val="24"/>
              </w:rPr>
              <w:t>浙江省</w:t>
            </w:r>
            <w:r>
              <w:rPr>
                <w:rFonts w:ascii="仿宋" w:hAnsi="仿宋" w:eastAsia="仿宋"/>
                <w:sz w:val="24"/>
              </w:rPr>
              <w:t>中等职业学校职业能力大赛“</w:t>
            </w:r>
            <w:r>
              <w:rPr>
                <w:rFonts w:hint="eastAsia" w:ascii="仿宋" w:hAnsi="仿宋" w:eastAsia="仿宋"/>
                <w:sz w:val="24"/>
              </w:rPr>
              <w:t>文明</w:t>
            </w:r>
            <w:r>
              <w:rPr>
                <w:rFonts w:ascii="仿宋" w:hAnsi="仿宋" w:eastAsia="仿宋"/>
                <w:sz w:val="24"/>
              </w:rPr>
              <w:t>风采”</w:t>
            </w:r>
            <w:r>
              <w:rPr>
                <w:rFonts w:hint="eastAsia" w:ascii="仿宋" w:hAnsi="仿宋" w:eastAsia="仿宋"/>
                <w:sz w:val="24"/>
              </w:rPr>
              <w:t>遴选</w:t>
            </w:r>
            <w:r>
              <w:rPr>
                <w:rFonts w:ascii="仿宋" w:hAnsi="仿宋" w:eastAsia="仿宋"/>
                <w:sz w:val="24"/>
              </w:rPr>
              <w:t>活动</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rPr>
            </w:pPr>
            <w:r>
              <w:rPr>
                <w:rFonts w:ascii="仿宋" w:hAnsi="仿宋" w:eastAsia="仿宋"/>
                <w:sz w:val="24"/>
              </w:rPr>
              <w:t>8</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sz w:val="24"/>
              </w:rPr>
            </w:pPr>
            <w:r>
              <w:rPr>
                <w:rFonts w:ascii="仿宋" w:hAnsi="仿宋" w:eastAsia="仿宋"/>
                <w:sz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ascii="仿宋" w:hAnsi="仿宋" w:eastAsia="仿宋"/>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优秀奖</w:t>
            </w:r>
          </w:p>
        </w:tc>
      </w:tr>
      <w:tr>
        <w:tblPrEx>
          <w:tblLayout w:type="fixed"/>
          <w:tblCellMar>
            <w:top w:w="15" w:type="dxa"/>
            <w:left w:w="15" w:type="dxa"/>
            <w:bottom w:w="15" w:type="dxa"/>
            <w:right w:w="15" w:type="dxa"/>
          </w:tblCellMar>
        </w:tblPrEx>
        <w:trPr>
          <w:trHeight w:val="454"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sz w:val="24"/>
              </w:rPr>
            </w:pPr>
            <w:r>
              <w:rPr>
                <w:rFonts w:hint="eastAsia" w:ascii="仿宋" w:hAnsi="仿宋" w:eastAsia="仿宋"/>
                <w:sz w:val="24"/>
              </w:rPr>
              <w:t>海宁市“诗韵</w:t>
            </w:r>
            <w:r>
              <w:rPr>
                <w:rFonts w:ascii="仿宋" w:hAnsi="仿宋" w:eastAsia="仿宋"/>
                <w:sz w:val="24"/>
              </w:rPr>
              <w:t>青春歌颂祖国</w:t>
            </w:r>
            <w:r>
              <w:rPr>
                <w:rFonts w:hint="eastAsia" w:ascii="仿宋" w:hAnsi="仿宋" w:eastAsia="仿宋"/>
                <w:sz w:val="24"/>
              </w:rPr>
              <w:t>”中学生</w:t>
            </w:r>
            <w:r>
              <w:rPr>
                <w:rFonts w:ascii="仿宋" w:hAnsi="仿宋" w:eastAsia="仿宋"/>
                <w:sz w:val="24"/>
              </w:rPr>
              <w:t>诗歌朗诵比赛</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rPr>
            </w:pPr>
            <w:r>
              <w:rPr>
                <w:rFonts w:ascii="仿宋" w:hAnsi="仿宋" w:eastAsia="仿宋"/>
                <w:sz w:val="24"/>
              </w:rPr>
              <w:t>9</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hint="eastAsia" w:ascii="仿宋" w:hAnsi="仿宋" w:eastAsia="仿宋"/>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ascii="仿宋" w:hAnsi="仿宋" w:eastAsia="仿宋"/>
                <w:sz w:val="24"/>
              </w:rPr>
              <w:t>海宁市</w:t>
            </w:r>
            <w:r>
              <w:rPr>
                <w:rFonts w:hint="eastAsia" w:ascii="仿宋" w:hAnsi="仿宋" w:eastAsia="仿宋"/>
                <w:sz w:val="24"/>
              </w:rPr>
              <w:t>二</w:t>
            </w:r>
            <w:r>
              <w:rPr>
                <w:rFonts w:ascii="仿宋" w:hAnsi="仿宋" w:eastAsia="仿宋"/>
                <w:sz w:val="24"/>
              </w:rPr>
              <w:t>等奖</w:t>
            </w:r>
          </w:p>
        </w:tc>
      </w:tr>
      <w:tr>
        <w:tblPrEx>
          <w:tblLayout w:type="fixed"/>
          <w:tblCellMar>
            <w:top w:w="15" w:type="dxa"/>
            <w:left w:w="15" w:type="dxa"/>
            <w:bottom w:w="15" w:type="dxa"/>
            <w:right w:w="15" w:type="dxa"/>
          </w:tblCellMar>
        </w:tblPrEx>
        <w:trPr>
          <w:trHeight w:val="454"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rPr>
            </w:pPr>
            <w:r>
              <w:rPr>
                <w:rFonts w:hint="eastAsia" w:ascii="仿宋" w:hAnsi="仿宋" w:eastAsia="仿宋"/>
                <w:sz w:val="24"/>
              </w:rPr>
              <w:t>海宁市中小学</w:t>
            </w:r>
            <w:r>
              <w:rPr>
                <w:rFonts w:ascii="仿宋" w:hAnsi="仿宋" w:eastAsia="仿宋"/>
                <w:sz w:val="24"/>
              </w:rPr>
              <w:t>合唱比赛</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 w:val="24"/>
              </w:rPr>
            </w:pPr>
            <w:r>
              <w:rPr>
                <w:rFonts w:ascii="仿宋" w:hAnsi="仿宋" w:eastAsia="仿宋"/>
                <w:sz w:val="24"/>
              </w:rPr>
              <w:t>40</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sz w:val="24"/>
              </w:rPr>
            </w:pPr>
            <w:r>
              <w:rPr>
                <w:rFonts w:ascii="仿宋" w:hAnsi="仿宋" w:eastAsia="仿宋"/>
                <w:sz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ascii="仿宋" w:hAnsi="仿宋" w:eastAsia="仿宋"/>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 w:val="24"/>
              </w:rPr>
            </w:pPr>
            <w:r>
              <w:rPr>
                <w:rFonts w:ascii="仿宋" w:hAnsi="仿宋" w:eastAsia="仿宋"/>
                <w:sz w:val="24"/>
              </w:rPr>
              <w:t>海宁市</w:t>
            </w:r>
            <w:r>
              <w:rPr>
                <w:rFonts w:hint="eastAsia" w:ascii="仿宋" w:hAnsi="仿宋" w:eastAsia="仿宋"/>
                <w:sz w:val="24"/>
              </w:rPr>
              <w:t>三等奖</w:t>
            </w:r>
          </w:p>
        </w:tc>
      </w:tr>
      <w:tr>
        <w:tblPrEx>
          <w:tblLayout w:type="fixed"/>
          <w:tblCellMar>
            <w:top w:w="15" w:type="dxa"/>
            <w:left w:w="15" w:type="dxa"/>
            <w:bottom w:w="15" w:type="dxa"/>
            <w:right w:w="15" w:type="dxa"/>
          </w:tblCellMar>
        </w:tblPrEx>
        <w:trPr>
          <w:trHeight w:val="454"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sz w:val="24"/>
              </w:rPr>
            </w:pPr>
            <w:r>
              <w:rPr>
                <w:rFonts w:hint="eastAsia" w:ascii="仿宋" w:hAnsi="仿宋" w:eastAsia="仿宋" w:cs="宋体"/>
                <w:sz w:val="24"/>
              </w:rPr>
              <w:t>“浙江</w:t>
            </w:r>
            <w:r>
              <w:rPr>
                <w:rFonts w:ascii="仿宋" w:hAnsi="仿宋" w:eastAsia="仿宋" w:cs="宋体"/>
                <w:sz w:val="24"/>
              </w:rPr>
              <w:t>卡森建设</w:t>
            </w:r>
            <w:r>
              <w:rPr>
                <w:rFonts w:hint="eastAsia" w:ascii="仿宋" w:hAnsi="仿宋" w:eastAsia="仿宋" w:cs="宋体"/>
                <w:sz w:val="24"/>
              </w:rPr>
              <w:t>杯”第三节</w:t>
            </w:r>
            <w:r>
              <w:rPr>
                <w:rFonts w:ascii="仿宋" w:hAnsi="仿宋" w:eastAsia="仿宋" w:cs="宋体"/>
                <w:sz w:val="24"/>
              </w:rPr>
              <w:t>浙江省师生剪纸</w:t>
            </w:r>
          </w:p>
        </w:tc>
        <w:tc>
          <w:tcPr>
            <w:tcW w:w="141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宋体"/>
                <w:sz w:val="24"/>
              </w:rPr>
            </w:pPr>
            <w:r>
              <w:rPr>
                <w:rFonts w:ascii="仿宋" w:hAnsi="仿宋" w:eastAsia="仿宋" w:cs="宋体"/>
                <w:sz w:val="24"/>
              </w:rPr>
              <w:t>4</w:t>
            </w:r>
          </w:p>
        </w:tc>
        <w:tc>
          <w:tcPr>
            <w:tcW w:w="1418" w:type="dxa"/>
            <w:tcBorders>
              <w:bottom w:val="single" w:color="auto" w:sz="4" w:space="0"/>
              <w:right w:val="single" w:color="auto" w:sz="4" w:space="0"/>
            </w:tcBorders>
            <w:vAlign w:val="center"/>
          </w:tcPr>
          <w:p>
            <w:pPr>
              <w:widowControl/>
              <w:jc w:val="center"/>
              <w:textAlignment w:val="center"/>
              <w:rPr>
                <w:rFonts w:ascii="仿宋" w:hAnsi="仿宋" w:eastAsia="仿宋" w:cs="宋体"/>
                <w:sz w:val="24"/>
              </w:rPr>
            </w:pPr>
            <w:r>
              <w:rPr>
                <w:rFonts w:hint="eastAsia" w:ascii="仿宋" w:hAnsi="仿宋" w:eastAsia="仿宋" w:cs="宋体"/>
                <w:sz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sz w:val="24"/>
              </w:rPr>
            </w:pPr>
            <w:r>
              <w:rPr>
                <w:rFonts w:hint="eastAsia" w:ascii="仿宋" w:hAnsi="仿宋" w:eastAsia="仿宋" w:cs="宋体"/>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sz w:val="24"/>
              </w:rPr>
            </w:pPr>
            <w:r>
              <w:rPr>
                <w:rFonts w:hint="eastAsia" w:ascii="仿宋" w:hAnsi="仿宋" w:eastAsia="仿宋" w:cs="宋体"/>
                <w:sz w:val="24"/>
              </w:rPr>
              <w:t>三等奖</w:t>
            </w:r>
          </w:p>
        </w:tc>
      </w:tr>
      <w:tr>
        <w:tblPrEx>
          <w:tblLayout w:type="fixed"/>
          <w:tblCellMar>
            <w:top w:w="15" w:type="dxa"/>
            <w:left w:w="15" w:type="dxa"/>
            <w:bottom w:w="15" w:type="dxa"/>
            <w:right w:w="15" w:type="dxa"/>
          </w:tblCellMar>
        </w:tblPrEx>
        <w:trPr>
          <w:trHeight w:val="454" w:hRule="atLeast"/>
        </w:trPr>
        <w:tc>
          <w:tcPr>
            <w:tcW w:w="2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auto"/>
                <w:kern w:val="0"/>
                <w:sz w:val="24"/>
                <w:lang w:bidi="ar"/>
              </w:rPr>
            </w:pPr>
            <w:r>
              <w:rPr>
                <w:rFonts w:hint="eastAsia" w:ascii="仿宋" w:hAnsi="仿宋" w:eastAsia="仿宋" w:cs="宋体"/>
                <w:color w:val="auto"/>
                <w:kern w:val="0"/>
                <w:sz w:val="24"/>
                <w:lang w:bidi="ar"/>
              </w:rPr>
              <w:t>合计</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auto"/>
                <w:kern w:val="0"/>
                <w:sz w:val="24"/>
                <w:lang w:val="en-US" w:eastAsia="zh-CN" w:bidi="ar"/>
              </w:rPr>
            </w:pPr>
            <w:r>
              <w:rPr>
                <w:rFonts w:hint="eastAsia" w:ascii="仿宋" w:hAnsi="仿宋" w:eastAsia="仿宋" w:cs="宋体"/>
                <w:color w:val="auto"/>
                <w:kern w:val="0"/>
                <w:sz w:val="24"/>
                <w:lang w:val="en-US" w:eastAsia="zh-CN" w:bidi="ar"/>
              </w:rPr>
              <w:t>77</w:t>
            </w:r>
          </w:p>
        </w:tc>
        <w:tc>
          <w:tcPr>
            <w:tcW w:w="141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仿宋" w:hAnsi="仿宋" w:eastAsia="仿宋" w:cs="宋体"/>
                <w:color w:val="auto"/>
                <w:kern w:val="0"/>
                <w:sz w:val="24"/>
                <w:lang w:val="en-US" w:eastAsia="zh-CN" w:bidi="ar"/>
              </w:rPr>
            </w:pPr>
            <w:r>
              <w:rPr>
                <w:rFonts w:hint="eastAsia" w:ascii="仿宋" w:hAnsi="仿宋" w:eastAsia="仿宋" w:cs="宋体"/>
                <w:color w:val="auto"/>
                <w:kern w:val="0"/>
                <w:sz w:val="24"/>
                <w:lang w:val="en-US" w:eastAsia="zh-CN" w:bidi="ar"/>
              </w:rPr>
              <w:t>15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宋体"/>
                <w:color w:val="auto"/>
                <w:kern w:val="0"/>
                <w:sz w:val="24"/>
                <w:lang w:val="en-US" w:eastAsia="zh-CN" w:bidi="ar"/>
              </w:rPr>
            </w:pPr>
            <w:r>
              <w:rPr>
                <w:rFonts w:hint="eastAsia" w:ascii="仿宋" w:hAnsi="仿宋" w:eastAsia="仿宋" w:cs="宋体"/>
                <w:color w:val="auto"/>
                <w:kern w:val="0"/>
                <w:sz w:val="24"/>
                <w:lang w:val="en-US" w:eastAsia="zh-CN" w:bidi="ar"/>
              </w:rPr>
              <w:t>12</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宋体"/>
                <w:color w:val="auto"/>
                <w:kern w:val="0"/>
                <w:sz w:val="24"/>
                <w:lang w:bidi="ar"/>
              </w:rPr>
            </w:pPr>
            <w:r>
              <w:rPr>
                <w:rFonts w:hint="eastAsia" w:ascii="仿宋" w:hAnsi="仿宋" w:eastAsia="仿宋" w:cs="宋体"/>
                <w:color w:val="auto"/>
                <w:kern w:val="0"/>
                <w:sz w:val="24"/>
                <w:lang w:bidi="ar"/>
              </w:rPr>
              <w:t>14</w:t>
            </w:r>
          </w:p>
        </w:tc>
      </w:tr>
      <w:bookmarkEnd w:id="44"/>
      <w:bookmarkEnd w:id="45"/>
    </w:tbl>
    <w:p>
      <w:pPr>
        <w:widowControl/>
        <w:shd w:val="clear" w:color="auto" w:fill="F6F6F6"/>
        <w:spacing w:line="360" w:lineRule="auto"/>
        <w:ind w:left="105" w:leftChars="50" w:right="150" w:firstLine="361" w:firstLineChars="150"/>
        <w:jc w:val="left"/>
        <w:rPr>
          <w:rFonts w:ascii="黑体" w:hAnsi="黑体" w:eastAsia="黑体"/>
          <w:b/>
          <w:sz w:val="24"/>
        </w:rPr>
      </w:pPr>
      <w:bookmarkStart w:id="50" w:name="_Toc471905944"/>
      <w:r>
        <w:rPr>
          <w:rFonts w:hint="eastAsia" w:ascii="黑体" w:hAnsi="黑体" w:eastAsia="黑体"/>
          <w:b/>
          <w:sz w:val="24"/>
        </w:rPr>
        <w:t>3.5.3“文明风采”活动开展情况</w:t>
      </w:r>
    </w:p>
    <w:p>
      <w:pPr>
        <w:widowControl/>
        <w:shd w:val="clear" w:color="auto" w:fill="F6F6F6"/>
        <w:spacing w:line="360" w:lineRule="auto"/>
        <w:ind w:left="105" w:leftChars="50" w:right="150" w:firstLine="480" w:firstLineChars="200"/>
        <w:jc w:val="left"/>
        <w:rPr>
          <w:rFonts w:ascii="黑体" w:hAnsi="黑体"/>
          <w:sz w:val="24"/>
        </w:rPr>
      </w:pPr>
      <w:r>
        <w:rPr>
          <w:rFonts w:hint="eastAsia" w:cs="Arial" w:asciiTheme="minorEastAsia" w:hAnsiTheme="minorEastAsia" w:eastAsiaTheme="minorEastAsia"/>
          <w:kern w:val="0"/>
          <w:sz w:val="24"/>
        </w:rPr>
        <w:t>学校根据全国中等职业学校“文明风采”竞赛组织委员会决定，将“文明风采”竞赛活动调整为学校“文明风采”德育主题活动，把“文明风采”活动的开展与思想政治课教学相结合，与学生日常管理相结合，与创建文明校园相结合，与职业指导相结合，推进活动常态化规范化。继续深入开展师生征文演讲、职业规划、摄影视频、才艺展示等项目活动，2019年《垃圾分类海卫说》荣获浙江省中等职业学校职业能力大赛“文明风采”优秀作品。全面增强学生的职业能力，提升学生综合素质。</w:t>
      </w:r>
    </w:p>
    <w:p>
      <w:pPr>
        <w:pStyle w:val="3"/>
        <w:keepNext w:val="0"/>
        <w:keepLines w:val="0"/>
        <w:adjustRightInd w:val="0"/>
        <w:snapToGrid w:val="0"/>
        <w:spacing w:before="156" w:beforeLines="50" w:line="360" w:lineRule="auto"/>
        <w:ind w:firstLine="482" w:firstLineChars="200"/>
        <w:rPr>
          <w:rFonts w:ascii="黑体" w:hAnsi="黑体"/>
          <w:sz w:val="24"/>
        </w:rPr>
      </w:pPr>
      <w:r>
        <w:rPr>
          <w:rFonts w:hint="eastAsia" w:ascii="黑体" w:hAnsi="黑体"/>
          <w:sz w:val="24"/>
        </w:rPr>
        <w:t>3.5.4社团活动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heme="minorEastAsia" w:hAnsiTheme="minorEastAsia" w:eastAsiaTheme="minorEastAsia"/>
          <w:sz w:val="24"/>
        </w:rPr>
      </w:pPr>
      <w:r>
        <w:rPr>
          <w:rFonts w:hint="eastAsia" w:cs="Arial" w:asciiTheme="minorEastAsia" w:hAnsiTheme="minorEastAsia" w:eastAsiaTheme="minorEastAsia"/>
          <w:kern w:val="0"/>
          <w:sz w:val="24"/>
        </w:rPr>
        <w:t>我校学生社团</w:t>
      </w:r>
      <w:r>
        <w:rPr>
          <w:rFonts w:hint="eastAsia" w:asciiTheme="minorEastAsia" w:hAnsiTheme="minorEastAsia" w:eastAsiaTheme="minorEastAsia"/>
          <w:sz w:val="24"/>
        </w:rPr>
        <w:t>依照“规范化、多样化、精品化”的社团发展思路，</w:t>
      </w:r>
      <w:r>
        <w:rPr>
          <w:rFonts w:hint="eastAsia" w:cs="Arial" w:asciiTheme="minorEastAsia" w:hAnsiTheme="minorEastAsia" w:eastAsiaTheme="minorEastAsia"/>
          <w:kern w:val="0"/>
          <w:sz w:val="24"/>
        </w:rPr>
        <w:t>营造特色校园文化，充分发挥学生特长和能力，深化中职生素质教育，进一步落实立德树人的根本任务，不断踏实进取、锐意创新。2019年以省改革发展示范校建设为契机，持续加强社团服务功能，促进社团育人功能，成为我校“</w:t>
      </w:r>
      <w:r>
        <w:rPr>
          <w:rFonts w:hint="eastAsia" w:asciiTheme="minorEastAsia" w:hAnsiTheme="minorEastAsia" w:eastAsiaTheme="minorEastAsia"/>
          <w:sz w:val="24"/>
        </w:rPr>
        <w:t>天使育人工程”颇具特色的重要环节。</w:t>
      </w:r>
    </w:p>
    <w:p>
      <w:pPr>
        <w:spacing w:line="360" w:lineRule="auto"/>
        <w:ind w:firstLine="241" w:firstLineChars="10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表9：2019年度学校社团活动情况一览表</w:t>
      </w:r>
    </w:p>
    <w:tbl>
      <w:tblPr>
        <w:tblStyle w:val="14"/>
        <w:tblW w:w="9371" w:type="dxa"/>
        <w:tblInd w:w="0" w:type="dxa"/>
        <w:tblLayout w:type="fixed"/>
        <w:tblCellMar>
          <w:top w:w="0" w:type="dxa"/>
          <w:left w:w="0" w:type="dxa"/>
          <w:bottom w:w="0" w:type="dxa"/>
          <w:right w:w="0" w:type="dxa"/>
        </w:tblCellMar>
      </w:tblPr>
      <w:tblGrid>
        <w:gridCol w:w="598"/>
        <w:gridCol w:w="1058"/>
        <w:gridCol w:w="765"/>
        <w:gridCol w:w="1563"/>
        <w:gridCol w:w="5387"/>
      </w:tblGrid>
      <w:tr>
        <w:tblPrEx>
          <w:tblLayout w:type="fixed"/>
          <w:tblCellMar>
            <w:top w:w="0" w:type="dxa"/>
            <w:left w:w="0" w:type="dxa"/>
            <w:bottom w:w="0" w:type="dxa"/>
            <w:right w:w="0" w:type="dxa"/>
          </w:tblCellMar>
        </w:tblPrEx>
        <w:trPr>
          <w:trHeight w:val="74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bookmarkStart w:id="51" w:name="_Toc471905941"/>
            <w:r>
              <w:rPr>
                <w:rFonts w:hint="eastAsia" w:ascii="仿宋" w:hAnsi="仿宋" w:eastAsia="仿宋" w:cs="宋体"/>
                <w:b/>
                <w:color w:val="000000"/>
                <w:kern w:val="0"/>
                <w:sz w:val="24"/>
                <w:lang w:bidi="ar"/>
              </w:rPr>
              <w:t>序号</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sz w:val="24"/>
              </w:rPr>
              <w:t>指导老师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kern w:val="0"/>
                <w:sz w:val="24"/>
                <w:lang w:bidi="ar"/>
              </w:rPr>
              <w:t>成员数</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sz w:val="24"/>
              </w:rPr>
              <w:t>社团名称</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color w:val="000000"/>
                <w:sz w:val="24"/>
              </w:rPr>
            </w:pPr>
            <w:r>
              <w:rPr>
                <w:rFonts w:hint="eastAsia" w:ascii="仿宋" w:hAnsi="仿宋" w:eastAsia="仿宋" w:cs="宋体"/>
                <w:b/>
                <w:color w:val="000000"/>
                <w:sz w:val="24"/>
              </w:rPr>
              <w:t>活动内容</w:t>
            </w:r>
          </w:p>
        </w:tc>
      </w:tr>
      <w:tr>
        <w:tblPrEx>
          <w:tblLayout w:type="fixed"/>
          <w:tblCellMar>
            <w:top w:w="0" w:type="dxa"/>
            <w:left w:w="0" w:type="dxa"/>
            <w:bottom w:w="0" w:type="dxa"/>
            <w:right w:w="0" w:type="dxa"/>
          </w:tblCellMar>
        </w:tblPrEx>
        <w:trPr>
          <w:trHeight w:val="482"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宋周虎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47</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摄影基础社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熟悉摄影的基础知识，学会使用相机正确的构图。</w:t>
            </w:r>
          </w:p>
        </w:tc>
      </w:tr>
      <w:tr>
        <w:tblPrEx>
          <w:tblLayout w:type="fixed"/>
          <w:tblCellMar>
            <w:top w:w="0" w:type="dxa"/>
            <w:left w:w="0" w:type="dxa"/>
            <w:bottom w:w="0" w:type="dxa"/>
            <w:right w:w="0" w:type="dxa"/>
          </w:tblCellMar>
        </w:tblPrEx>
        <w:trPr>
          <w:trHeight w:val="404"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2</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冯艳</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49</w:t>
            </w:r>
          </w:p>
        </w:tc>
        <w:tc>
          <w:tcPr>
            <w:tcW w:w="1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精油与纯露社</w:t>
            </w:r>
          </w:p>
        </w:tc>
        <w:tc>
          <w:tcPr>
            <w:tcW w:w="5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从芳香植物中提取精油。</w:t>
            </w:r>
          </w:p>
        </w:tc>
      </w:tr>
      <w:tr>
        <w:tblPrEx>
          <w:tblLayout w:type="fixed"/>
          <w:tblCellMar>
            <w:top w:w="0" w:type="dxa"/>
            <w:left w:w="0" w:type="dxa"/>
            <w:bottom w:w="0" w:type="dxa"/>
            <w:right w:w="0" w:type="dxa"/>
          </w:tblCellMar>
        </w:tblPrEx>
        <w:trPr>
          <w:trHeight w:val="468"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3</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周鑫瑜</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49</w:t>
            </w:r>
          </w:p>
        </w:tc>
        <w:tc>
          <w:tcPr>
            <w:tcW w:w="1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中医养生社</w:t>
            </w:r>
          </w:p>
        </w:tc>
        <w:tc>
          <w:tcPr>
            <w:tcW w:w="5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sz w:val="24"/>
              </w:rPr>
              <w:t>学习中医养生知识。</w:t>
            </w:r>
          </w:p>
        </w:tc>
      </w:tr>
      <w:tr>
        <w:tblPrEx>
          <w:tblLayout w:type="fixed"/>
          <w:tblCellMar>
            <w:top w:w="0" w:type="dxa"/>
            <w:left w:w="0" w:type="dxa"/>
            <w:bottom w:w="0" w:type="dxa"/>
            <w:right w:w="0" w:type="dxa"/>
          </w:tblCellMar>
        </w:tblPrEx>
        <w:trPr>
          <w:trHeight w:val="403"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夏青青</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53</w:t>
            </w:r>
          </w:p>
        </w:tc>
        <w:tc>
          <w:tcPr>
            <w:tcW w:w="1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饮食与健康社</w:t>
            </w:r>
          </w:p>
        </w:tc>
        <w:tc>
          <w:tcPr>
            <w:tcW w:w="5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教授程描述饮食的营养、卫生极其与健康的关系。</w:t>
            </w:r>
          </w:p>
        </w:tc>
      </w:tr>
      <w:tr>
        <w:tblPrEx>
          <w:tblLayout w:type="fixed"/>
          <w:tblCellMar>
            <w:top w:w="0" w:type="dxa"/>
            <w:left w:w="0" w:type="dxa"/>
            <w:bottom w:w="0" w:type="dxa"/>
            <w:right w:w="0" w:type="dxa"/>
          </w:tblCellMar>
        </w:tblPrEx>
        <w:trPr>
          <w:trHeight w:val="467"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张虹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48</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药膳空间社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针对学生感兴趣的美白、瘦身、乌发、滋补气血等方面的问题，设计并完成相应的药膳美食。</w:t>
            </w:r>
          </w:p>
        </w:tc>
      </w:tr>
      <w:tr>
        <w:tblPrEx>
          <w:tblLayout w:type="fixed"/>
          <w:tblCellMar>
            <w:top w:w="0" w:type="dxa"/>
            <w:left w:w="0" w:type="dxa"/>
            <w:bottom w:w="0" w:type="dxa"/>
            <w:right w:w="0" w:type="dxa"/>
          </w:tblCellMar>
        </w:tblPrEx>
        <w:trPr>
          <w:trHeight w:val="713"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6</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胡晓敏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60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药物分析基本操作技能社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根据药物分析岗位的基本技能要求，结合药学专业单考单招技能考试的考核项目，选取分析检验中必备的操作项目，学会基本仪器的使用方法。</w:t>
            </w:r>
          </w:p>
        </w:tc>
      </w:tr>
      <w:tr>
        <w:tblPrEx>
          <w:tblLayout w:type="fixed"/>
          <w:tblCellMar>
            <w:top w:w="0" w:type="dxa"/>
            <w:left w:w="0" w:type="dxa"/>
            <w:bottom w:w="0" w:type="dxa"/>
            <w:right w:w="0" w:type="dxa"/>
          </w:tblCellMar>
        </w:tblPrEx>
        <w:trPr>
          <w:trHeight w:val="785"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7</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金晓董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46</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中医药文化社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弘扬历史、传播理念、崇尚医德、宣传知识、介绍方法、彰显特色的作用。</w:t>
            </w:r>
          </w:p>
        </w:tc>
      </w:tr>
      <w:tr>
        <w:tblPrEx>
          <w:tblLayout w:type="fixed"/>
          <w:tblCellMar>
            <w:top w:w="0" w:type="dxa"/>
            <w:left w:w="0" w:type="dxa"/>
            <w:bottom w:w="0" w:type="dxa"/>
            <w:right w:w="0" w:type="dxa"/>
          </w:tblCellMar>
        </w:tblPrEx>
        <w:trPr>
          <w:trHeight w:val="529"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8</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方建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45</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小儿推拿社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小儿推拿理论指导，运用各种手法刺激穴位。</w:t>
            </w:r>
          </w:p>
        </w:tc>
      </w:tr>
      <w:tr>
        <w:tblPrEx>
          <w:tblLayout w:type="fixed"/>
          <w:tblCellMar>
            <w:top w:w="0" w:type="dxa"/>
            <w:left w:w="0" w:type="dxa"/>
            <w:bottom w:w="0" w:type="dxa"/>
            <w:right w:w="0" w:type="dxa"/>
          </w:tblCellMar>
        </w:tblPrEx>
        <w:trPr>
          <w:trHeight w:val="679"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9</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 xml:space="preserve">张海霞  </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50</w:t>
            </w:r>
          </w:p>
        </w:tc>
        <w:tc>
          <w:tcPr>
            <w:tcW w:w="1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瑜伽与冥想社</w:t>
            </w:r>
          </w:p>
        </w:tc>
        <w:tc>
          <w:tcPr>
            <w:tcW w:w="5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sz w:val="24"/>
              </w:rPr>
              <w:t>学习瑜伽的基本动作。</w:t>
            </w:r>
          </w:p>
        </w:tc>
      </w:tr>
      <w:tr>
        <w:tblPrEx>
          <w:tblLayout w:type="fixed"/>
          <w:tblCellMar>
            <w:top w:w="0" w:type="dxa"/>
            <w:left w:w="0" w:type="dxa"/>
            <w:bottom w:w="0" w:type="dxa"/>
            <w:right w:w="0" w:type="dxa"/>
          </w:tblCellMar>
        </w:tblPrEx>
        <w:trPr>
          <w:trHeight w:val="1367"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唐小宁</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40</w:t>
            </w:r>
          </w:p>
        </w:tc>
        <w:tc>
          <w:tcPr>
            <w:tcW w:w="1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漂亮女生社</w:t>
            </w:r>
          </w:p>
        </w:tc>
        <w:tc>
          <w:tcPr>
            <w:tcW w:w="53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通过瑜伽动作，让我们的脊柱保持正常的生理弧度，通过强度适中的运动，促进新陈代谢，加速多余脂肪的燃烧，达到健康减肥目的。</w:t>
            </w:r>
            <w:r>
              <w:rPr>
                <w:rFonts w:ascii="仿宋" w:hAnsi="仿宋" w:eastAsia="仿宋" w:cs="等线"/>
                <w:color w:val="000000"/>
                <w:sz w:val="24"/>
              </w:rPr>
              <w:t xml:space="preserve"> </w:t>
            </w:r>
          </w:p>
        </w:tc>
      </w:tr>
      <w:tr>
        <w:tblPrEx>
          <w:tblLayout w:type="fixed"/>
          <w:tblCellMar>
            <w:top w:w="0" w:type="dxa"/>
            <w:left w:w="0" w:type="dxa"/>
            <w:bottom w:w="0" w:type="dxa"/>
            <w:right w:w="0" w:type="dxa"/>
          </w:tblCellMar>
        </w:tblPrEx>
        <w:trPr>
          <w:trHeight w:val="670"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11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朱彩文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55</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《秘密花园》社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《秘密花园》这是一本既可以涂色又可以探宝的书，这是一本既可以娱乐又可以作为设计参考的书。</w:t>
            </w:r>
          </w:p>
        </w:tc>
      </w:tr>
      <w:tr>
        <w:tblPrEx>
          <w:tblLayout w:type="fixed"/>
          <w:tblCellMar>
            <w:top w:w="0" w:type="dxa"/>
            <w:left w:w="0"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12</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周璐易</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55</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纸艺入门社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纸艺学习，剪纸、折纸、纸扎……</w:t>
            </w:r>
          </w:p>
        </w:tc>
      </w:tr>
      <w:tr>
        <w:tblPrEx>
          <w:tblLayout w:type="fixed"/>
          <w:tblCellMar>
            <w:top w:w="0" w:type="dxa"/>
            <w:left w:w="0" w:type="dxa"/>
            <w:bottom w:w="0" w:type="dxa"/>
            <w:right w:w="0" w:type="dxa"/>
          </w:tblCellMar>
        </w:tblPrEx>
        <w:trPr>
          <w:trHeight w:val="670"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李超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50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DIY创作社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淘宝手工制作，为自己，为家人设计制作一份独立无二的个性礼物。</w:t>
            </w:r>
          </w:p>
        </w:tc>
      </w:tr>
      <w:tr>
        <w:tblPrEx>
          <w:tblLayout w:type="fixed"/>
          <w:tblCellMar>
            <w:top w:w="0" w:type="dxa"/>
            <w:left w:w="0" w:type="dxa"/>
            <w:bottom w:w="0" w:type="dxa"/>
            <w:right w:w="0" w:type="dxa"/>
          </w:tblCellMar>
        </w:tblPrEx>
        <w:trPr>
          <w:trHeight w:val="958"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14</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沈孝丽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48</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零基础PPT养成社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PPT基本制作及赏析。</w:t>
            </w:r>
          </w:p>
        </w:tc>
      </w:tr>
      <w:tr>
        <w:tblPrEx>
          <w:tblLayout w:type="fixed"/>
          <w:tblCellMar>
            <w:top w:w="0" w:type="dxa"/>
            <w:left w:w="0" w:type="dxa"/>
            <w:bottom w:w="0" w:type="dxa"/>
            <w:right w:w="0" w:type="dxa"/>
          </w:tblCellMar>
        </w:tblPrEx>
        <w:trPr>
          <w:trHeight w:val="528"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15</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马宇云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58</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“见字如面”社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见字如面是一门青春文字课，可品读可习字。</w:t>
            </w:r>
          </w:p>
        </w:tc>
      </w:tr>
      <w:tr>
        <w:tblPrEx>
          <w:tblLayout w:type="fixed"/>
          <w:tblCellMar>
            <w:top w:w="0" w:type="dxa"/>
            <w:left w:w="0" w:type="dxa"/>
            <w:bottom w:w="0" w:type="dxa"/>
            <w:right w:w="0" w:type="dxa"/>
          </w:tblCellMar>
        </w:tblPrEx>
        <w:trPr>
          <w:trHeight w:val="536"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16</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卢英菊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气排球社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气排球基础学习。</w:t>
            </w:r>
          </w:p>
        </w:tc>
      </w:tr>
      <w:tr>
        <w:tblPrEx>
          <w:tblLayout w:type="fixed"/>
          <w:tblCellMar>
            <w:top w:w="0" w:type="dxa"/>
            <w:left w:w="0" w:type="dxa"/>
            <w:bottom w:w="0" w:type="dxa"/>
            <w:right w:w="0" w:type="dxa"/>
          </w:tblCellMar>
        </w:tblPrEx>
        <w:trPr>
          <w:trHeight w:val="813"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17</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周艳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50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自油自画社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通过特殊工艺将画作加工成线条和数字符号完成的手绘产品。</w:t>
            </w:r>
          </w:p>
        </w:tc>
      </w:tr>
      <w:tr>
        <w:tblPrEx>
          <w:tblLayout w:type="fixed"/>
          <w:tblCellMar>
            <w:top w:w="0" w:type="dxa"/>
            <w:left w:w="0" w:type="dxa"/>
            <w:bottom w:w="0" w:type="dxa"/>
            <w:right w:w="0" w:type="dxa"/>
          </w:tblCellMar>
        </w:tblPrEx>
        <w:trPr>
          <w:trHeight w:val="713"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18</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姜忆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50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视听小屋社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让学生在“浸入式”教学中学习原汁原味的英语表达，通过语言技能的提高与文化意识的渗透，锻炼学生的思辨能力，培养国际视野和对英语的兴趣并提高英语水平。</w:t>
            </w:r>
          </w:p>
        </w:tc>
      </w:tr>
      <w:tr>
        <w:tblPrEx>
          <w:tblLayout w:type="fixed"/>
          <w:tblCellMar>
            <w:top w:w="0" w:type="dxa"/>
            <w:left w:w="0" w:type="dxa"/>
            <w:bottom w:w="0" w:type="dxa"/>
            <w:right w:w="0" w:type="dxa"/>
          </w:tblCellMar>
        </w:tblPrEx>
        <w:trPr>
          <w:trHeight w:val="785"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19</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李献俊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50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日语入门社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本课程主要对五十音图、初级日语单词及会话进行详解，预期目标就是让学生识得日文假名，能够进行初级日常对话，</w:t>
            </w:r>
          </w:p>
        </w:tc>
      </w:tr>
      <w:tr>
        <w:tblPrEx>
          <w:tblLayout w:type="fixed"/>
          <w:tblCellMar>
            <w:top w:w="0" w:type="dxa"/>
            <w:left w:w="0" w:type="dxa"/>
            <w:bottom w:w="0" w:type="dxa"/>
            <w:right w:w="0" w:type="dxa"/>
          </w:tblCellMar>
        </w:tblPrEx>
        <w:trPr>
          <w:trHeight w:val="1214"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20</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张沂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50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英美文学赏析与翻译社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带领大家欣赏英语美文，比较其与中文的不同之处，并将她们进行翻译、传播。</w:t>
            </w:r>
          </w:p>
        </w:tc>
      </w:tr>
      <w:tr>
        <w:tblPrEx>
          <w:tblLayout w:type="fixed"/>
          <w:tblCellMar>
            <w:top w:w="0" w:type="dxa"/>
            <w:left w:w="0" w:type="dxa"/>
            <w:bottom w:w="0" w:type="dxa"/>
            <w:right w:w="0" w:type="dxa"/>
          </w:tblCellMar>
        </w:tblPrEx>
        <w:trPr>
          <w:trHeight w:val="756"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21</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马文蕊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65</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汉服研习社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让我们共同寻找被淡忘的传统文化，研究汉服文化。</w:t>
            </w:r>
          </w:p>
        </w:tc>
      </w:tr>
      <w:tr>
        <w:tblPrEx>
          <w:tblLayout w:type="fixed"/>
          <w:tblCellMar>
            <w:top w:w="0" w:type="dxa"/>
            <w:left w:w="0" w:type="dxa"/>
            <w:bottom w:w="0" w:type="dxa"/>
            <w:right w:w="0" w:type="dxa"/>
          </w:tblCellMar>
        </w:tblPrEx>
        <w:trPr>
          <w:trHeight w:val="627"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22</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欧海虹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50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弟子规传统文化社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弟子规原文讲解，德育小故事來讲“ 孝悌忠信 礼义廉耻”讲课加让学生联系实际去落实行动。</w:t>
            </w:r>
          </w:p>
        </w:tc>
      </w:tr>
      <w:tr>
        <w:tblPrEx>
          <w:tblLayout w:type="fixed"/>
          <w:tblCellMar>
            <w:top w:w="0" w:type="dxa"/>
            <w:left w:w="0" w:type="dxa"/>
            <w:bottom w:w="0" w:type="dxa"/>
            <w:right w:w="0" w:type="dxa"/>
          </w:tblCellMar>
        </w:tblPrEx>
        <w:trPr>
          <w:trHeight w:val="742"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23</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冯思琪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52</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艺术赏析社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对艺术作品的感知、体验、理解、想象、再创造等综合活动。</w:t>
            </w:r>
          </w:p>
        </w:tc>
      </w:tr>
      <w:tr>
        <w:tblPrEx>
          <w:tblLayout w:type="fixed"/>
          <w:tblCellMar>
            <w:top w:w="0" w:type="dxa"/>
            <w:left w:w="0" w:type="dxa"/>
            <w:bottom w:w="0" w:type="dxa"/>
            <w:right w:w="0" w:type="dxa"/>
          </w:tblCellMar>
        </w:tblPrEx>
        <w:trPr>
          <w:trHeight w:val="756"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24</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李海伟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45</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趣味数学社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通过一些游戏和探究活动，帮助同学们学习趣味数学。</w:t>
            </w:r>
          </w:p>
        </w:tc>
      </w:tr>
      <w:tr>
        <w:tblPrEx>
          <w:tblLayout w:type="fixed"/>
          <w:tblCellMar>
            <w:top w:w="0" w:type="dxa"/>
            <w:left w:w="0" w:type="dxa"/>
            <w:bottom w:w="0" w:type="dxa"/>
            <w:right w:w="0" w:type="dxa"/>
          </w:tblCellMar>
        </w:tblPrEx>
        <w:trPr>
          <w:trHeight w:val="785"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25</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刘忠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36</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篮球社（男）</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通过广泛地开展篮球活动丰富学生的业余文化生活，缓解同学们学习或者生活上的压力。</w:t>
            </w:r>
          </w:p>
        </w:tc>
      </w:tr>
      <w:tr>
        <w:tblPrEx>
          <w:tblLayout w:type="fixed"/>
          <w:tblCellMar>
            <w:top w:w="0" w:type="dxa"/>
            <w:left w:w="0" w:type="dxa"/>
            <w:bottom w:w="0" w:type="dxa"/>
            <w:right w:w="0" w:type="dxa"/>
          </w:tblCellMar>
        </w:tblPrEx>
        <w:trPr>
          <w:trHeight w:val="871"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26</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李会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35</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风之翼轮滑社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锻炼身体，促进社员交流，提高轮滑技艺。</w:t>
            </w:r>
          </w:p>
        </w:tc>
      </w:tr>
      <w:tr>
        <w:tblPrEx>
          <w:tblLayout w:type="fixed"/>
          <w:tblCellMar>
            <w:top w:w="0" w:type="dxa"/>
            <w:left w:w="0" w:type="dxa"/>
            <w:bottom w:w="0" w:type="dxa"/>
            <w:right w:w="0" w:type="dxa"/>
          </w:tblCellMar>
        </w:tblPrEx>
        <w:trPr>
          <w:trHeight w:val="742"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27</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朱佳辉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36</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篮球社（女）</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通过广泛地开展篮球活动丰富学生的业余文化生活，缓解同学们学习或者生活上的压力。</w:t>
            </w:r>
          </w:p>
        </w:tc>
      </w:tr>
      <w:tr>
        <w:tblPrEx>
          <w:tblLayout w:type="fixed"/>
          <w:tblCellMar>
            <w:top w:w="0" w:type="dxa"/>
            <w:left w:w="0" w:type="dxa"/>
            <w:bottom w:w="0" w:type="dxa"/>
            <w:right w:w="0" w:type="dxa"/>
          </w:tblCellMar>
        </w:tblPrEx>
        <w:trPr>
          <w:trHeight w:val="670"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28</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金浩飞</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60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高一数学基础提升社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针对想要巩固校内知识的高一年级学员，在校成绩位于中等，目标更进一步的学员；提升数学素养。</w:t>
            </w:r>
          </w:p>
        </w:tc>
      </w:tr>
      <w:tr>
        <w:tblPrEx>
          <w:tblLayout w:type="fixed"/>
          <w:tblCellMar>
            <w:top w:w="0" w:type="dxa"/>
            <w:left w:w="0" w:type="dxa"/>
            <w:bottom w:w="0" w:type="dxa"/>
            <w:right w:w="0" w:type="dxa"/>
          </w:tblCellMar>
        </w:tblPrEx>
        <w:trPr>
          <w:trHeight w:val="742"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29</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周晓红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60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单考单招护理技能社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本课程开设对象为三年制升学方向班、普职融通班和中本一体化班级的同学，培养学生熟悉技能实训环境，适应临床情境变化。</w:t>
            </w:r>
          </w:p>
        </w:tc>
      </w:tr>
      <w:tr>
        <w:tblPrEx>
          <w:tblLayout w:type="fixed"/>
          <w:tblCellMar>
            <w:top w:w="0" w:type="dxa"/>
            <w:left w:w="0" w:type="dxa"/>
            <w:bottom w:w="0" w:type="dxa"/>
            <w:right w:w="0" w:type="dxa"/>
          </w:tblCellMar>
        </w:tblPrEx>
        <w:trPr>
          <w:trHeight w:val="920"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30</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李旸</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60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草本种植社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亲手种植神奇的本草，学习本草的养殖特点，学会采收，加工本草饮片，体验传统炮制工艺。</w:t>
            </w:r>
          </w:p>
        </w:tc>
      </w:tr>
      <w:tr>
        <w:tblPrEx>
          <w:tblLayout w:type="fixed"/>
          <w:tblCellMar>
            <w:top w:w="0" w:type="dxa"/>
            <w:left w:w="0" w:type="dxa"/>
            <w:bottom w:w="0" w:type="dxa"/>
            <w:right w:w="0" w:type="dxa"/>
          </w:tblCellMar>
        </w:tblPrEx>
        <w:trPr>
          <w:trHeight w:val="972"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31</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王丹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28</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律动健美操社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健美操是融体操、舞蹈、音乐于一体的追求人体健与美的运动项目，具有高度的艺术性。</w:t>
            </w:r>
          </w:p>
        </w:tc>
      </w:tr>
      <w:tr>
        <w:tblPrEx>
          <w:tblLayout w:type="fixed"/>
          <w:tblCellMar>
            <w:top w:w="0" w:type="dxa"/>
            <w:left w:w="0" w:type="dxa"/>
            <w:bottom w:w="0" w:type="dxa"/>
            <w:right w:w="0" w:type="dxa"/>
          </w:tblCellMar>
        </w:tblPrEx>
        <w:trPr>
          <w:trHeight w:val="972"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32</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祝祎婷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名著品读社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通过对名著的品读来激发学生对文学的学习兴趣，阅读优秀名著就与过去时代的人物进行“交流”。</w:t>
            </w:r>
            <w:r>
              <w:rPr>
                <w:rFonts w:ascii="仿宋" w:hAnsi="仿宋" w:eastAsia="仿宋" w:cs="等线"/>
                <w:color w:val="000000"/>
                <w:sz w:val="24"/>
              </w:rPr>
              <w:t xml:space="preserve"> </w:t>
            </w:r>
          </w:p>
        </w:tc>
      </w:tr>
      <w:tr>
        <w:tblPrEx>
          <w:tblLayout w:type="fixed"/>
          <w:tblCellMar>
            <w:top w:w="0" w:type="dxa"/>
            <w:left w:w="0" w:type="dxa"/>
            <w:bottom w:w="0" w:type="dxa"/>
            <w:right w:w="0" w:type="dxa"/>
          </w:tblCellMar>
        </w:tblPrEx>
        <w:trPr>
          <w:trHeight w:val="1032"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33</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杨慧兰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25</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皮影戏社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海宁皮影戏演艺中心的专业老师教授学员皮影表演技巧。</w:t>
            </w:r>
          </w:p>
        </w:tc>
      </w:tr>
      <w:tr>
        <w:tblPrEx>
          <w:tblLayout w:type="fixed"/>
          <w:tblCellMar>
            <w:top w:w="0" w:type="dxa"/>
            <w:left w:w="0" w:type="dxa"/>
            <w:bottom w:w="0" w:type="dxa"/>
            <w:right w:w="0" w:type="dxa"/>
          </w:tblCellMar>
        </w:tblPrEx>
        <w:trPr>
          <w:trHeight w:val="589"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34</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朱晨雨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50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青春舞蹈社</w:t>
            </w:r>
          </w:p>
        </w:tc>
        <w:tc>
          <w:tcPr>
            <w:tcW w:w="5387" w:type="dxa"/>
            <w:tcBorders>
              <w:top w:val="nil"/>
              <w:left w:val="nil"/>
              <w:bottom w:val="nil"/>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民族舞与现代舞学习。</w:t>
            </w:r>
          </w:p>
        </w:tc>
      </w:tr>
      <w:tr>
        <w:tblPrEx>
          <w:tblLayout w:type="fixed"/>
          <w:tblCellMar>
            <w:top w:w="0" w:type="dxa"/>
            <w:left w:w="0" w:type="dxa"/>
            <w:bottom w:w="0" w:type="dxa"/>
            <w:right w:w="0" w:type="dxa"/>
          </w:tblCellMar>
        </w:tblPrEx>
        <w:trPr>
          <w:trHeight w:val="799"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35</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王雪琴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青春同伴社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进行心理知识的辅导，引导青少年树立正确的恋爱观、了解生殖健康、艾滋病预防知识、毒品危害等有关知识。</w:t>
            </w:r>
          </w:p>
        </w:tc>
      </w:tr>
      <w:tr>
        <w:tblPrEx>
          <w:tblLayout w:type="fixed"/>
          <w:tblCellMar>
            <w:top w:w="0" w:type="dxa"/>
            <w:left w:w="0" w:type="dxa"/>
            <w:bottom w:w="0" w:type="dxa"/>
            <w:right w:w="0" w:type="dxa"/>
          </w:tblCellMar>
        </w:tblPrEx>
        <w:trPr>
          <w:trHeight w:val="516"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36</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张群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50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青春戏剧社</w:t>
            </w:r>
          </w:p>
        </w:tc>
        <w:tc>
          <w:tcPr>
            <w:tcW w:w="53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喜剧表演、舞美编排。</w:t>
            </w:r>
          </w:p>
        </w:tc>
      </w:tr>
      <w:tr>
        <w:tblPrEx>
          <w:tblLayout w:type="fixed"/>
          <w:tblCellMar>
            <w:top w:w="0" w:type="dxa"/>
            <w:left w:w="0" w:type="dxa"/>
            <w:bottom w:w="0" w:type="dxa"/>
            <w:right w:w="0" w:type="dxa"/>
          </w:tblCellMar>
        </w:tblPrEx>
        <w:trPr>
          <w:trHeight w:val="658"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37</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戴老师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50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天籁合唱社</w:t>
            </w:r>
          </w:p>
        </w:tc>
        <w:tc>
          <w:tcPr>
            <w:tcW w:w="5387"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合唱节目排练，承担学校大型活动表演。</w:t>
            </w:r>
          </w:p>
        </w:tc>
      </w:tr>
      <w:tr>
        <w:tblPrEx>
          <w:tblLayout w:type="fixed"/>
          <w:tblCellMar>
            <w:top w:w="0" w:type="dxa"/>
            <w:left w:w="0" w:type="dxa"/>
            <w:bottom w:w="0" w:type="dxa"/>
            <w:right w:w="0" w:type="dxa"/>
          </w:tblCellMar>
        </w:tblPrEx>
        <w:trPr>
          <w:trHeight w:val="814"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38</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邵曙霞</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60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天使技能社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让护生能相对更早、更规范地接触护理技能操作，强化护理操作基本礼仪及常用护理操作，接轨临床。</w:t>
            </w:r>
          </w:p>
        </w:tc>
      </w:tr>
      <w:tr>
        <w:tblPrEx>
          <w:tblLayout w:type="fixed"/>
          <w:tblCellMar>
            <w:top w:w="0" w:type="dxa"/>
            <w:left w:w="0" w:type="dxa"/>
            <w:bottom w:w="0" w:type="dxa"/>
            <w:right w:w="0" w:type="dxa"/>
          </w:tblCellMar>
        </w:tblPrEx>
        <w:trPr>
          <w:trHeight w:val="742"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39</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吴超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我爱发明社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了解发明创新之相关知识、学习发明创新之相关技巧、熟悉发明创新专利之申报流程及规范。</w:t>
            </w:r>
          </w:p>
        </w:tc>
      </w:tr>
      <w:tr>
        <w:tblPrEx>
          <w:tblLayout w:type="fixed"/>
          <w:tblCellMar>
            <w:top w:w="0" w:type="dxa"/>
            <w:left w:w="0" w:type="dxa"/>
            <w:bottom w:w="0" w:type="dxa"/>
            <w:right w:w="0" w:type="dxa"/>
          </w:tblCellMar>
        </w:tblPrEx>
        <w:trPr>
          <w:trHeight w:val="742"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40</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刘小军</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60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旋风乒乓球</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利用一步到专业的速成教学方法，乒乓球技术训练课程包括正反手拉弧旋球、高抛发球、正侧旋、逆侧旋、转不转发球、接发球等。</w:t>
            </w:r>
          </w:p>
        </w:tc>
      </w:tr>
      <w:tr>
        <w:tblPrEx>
          <w:tblLayout w:type="fixed"/>
          <w:tblCellMar>
            <w:top w:w="0" w:type="dxa"/>
            <w:left w:w="0" w:type="dxa"/>
            <w:bottom w:w="0" w:type="dxa"/>
            <w:right w:w="0" w:type="dxa"/>
          </w:tblCellMar>
        </w:tblPrEx>
        <w:trPr>
          <w:trHeight w:val="920"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41</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裴华利</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61</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炫彩礼仪社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对护理职业人员礼仪要求进行全面、详细的介绍，并辅以具体的行为模拟训练。</w:t>
            </w:r>
            <w:r>
              <w:rPr>
                <w:rFonts w:ascii="仿宋" w:hAnsi="仿宋" w:eastAsia="仿宋" w:cs="等线"/>
                <w:color w:val="000000"/>
                <w:sz w:val="24"/>
              </w:rPr>
              <w:t xml:space="preserve"> </w:t>
            </w:r>
          </w:p>
        </w:tc>
      </w:tr>
      <w:tr>
        <w:tblPrEx>
          <w:tblLayout w:type="fixed"/>
          <w:tblCellMar>
            <w:top w:w="0" w:type="dxa"/>
            <w:left w:w="0" w:type="dxa"/>
            <w:bottom w:w="0" w:type="dxa"/>
            <w:right w:w="0" w:type="dxa"/>
          </w:tblCellMar>
        </w:tblPrEx>
        <w:trPr>
          <w:trHeight w:val="487"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42</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钱卫强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62</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养生太极拳社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太极拳文化了解以及学习太极拳打法。</w:t>
            </w:r>
          </w:p>
        </w:tc>
      </w:tr>
      <w:tr>
        <w:tblPrEx>
          <w:tblLayout w:type="fixed"/>
          <w:tblCellMar>
            <w:top w:w="0" w:type="dxa"/>
            <w:left w:w="0" w:type="dxa"/>
            <w:bottom w:w="0" w:type="dxa"/>
            <w:right w:w="0" w:type="dxa"/>
          </w:tblCellMar>
        </w:tblPrEx>
        <w:trPr>
          <w:trHeight w:val="679"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43</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朱祎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38</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艺美画社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为发掘我校的艺术人才，为爱好美术的同学提供一个学习和展示自我的平台。</w:t>
            </w:r>
          </w:p>
        </w:tc>
      </w:tr>
      <w:tr>
        <w:tblPrEx>
          <w:tblLayout w:type="fixed"/>
          <w:tblCellMar>
            <w:top w:w="0" w:type="dxa"/>
            <w:left w:w="0" w:type="dxa"/>
            <w:bottom w:w="0" w:type="dxa"/>
            <w:right w:w="0" w:type="dxa"/>
          </w:tblCellMar>
        </w:tblPrEx>
        <w:trPr>
          <w:trHeight w:val="580"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44</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朱静毅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60</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逐潮文学社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提升学生文学素养、提高写作水平。</w:t>
            </w:r>
          </w:p>
        </w:tc>
      </w:tr>
      <w:tr>
        <w:tblPrEx>
          <w:tblLayout w:type="fixed"/>
          <w:tblCellMar>
            <w:top w:w="0" w:type="dxa"/>
            <w:left w:w="0" w:type="dxa"/>
            <w:bottom w:w="0" w:type="dxa"/>
            <w:right w:w="0" w:type="dxa"/>
          </w:tblCellMar>
        </w:tblPrEx>
        <w:trPr>
          <w:trHeight w:val="766" w:hRule="atLeast"/>
        </w:trPr>
        <w:tc>
          <w:tcPr>
            <w:tcW w:w="5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45</w:t>
            </w:r>
          </w:p>
        </w:tc>
        <w:tc>
          <w:tcPr>
            <w:tcW w:w="1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沈茜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等线"/>
                <w:color w:val="000000"/>
                <w:sz w:val="24"/>
              </w:rPr>
            </w:pPr>
            <w:r>
              <w:rPr>
                <w:rFonts w:hint="eastAsia" w:ascii="仿宋" w:hAnsi="仿宋" w:eastAsia="仿宋" w:cs="等线"/>
                <w:color w:val="000000"/>
                <w:kern w:val="0"/>
                <w:sz w:val="24"/>
                <w:lang w:bidi="ar"/>
              </w:rPr>
              <w:t>35</w:t>
            </w:r>
          </w:p>
        </w:tc>
        <w:tc>
          <w:tcPr>
            <w:tcW w:w="15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主持与演讲社</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仿宋" w:hAnsi="仿宋" w:eastAsia="仿宋" w:cs="等线"/>
                <w:color w:val="000000"/>
                <w:sz w:val="24"/>
              </w:rPr>
            </w:pPr>
            <w:r>
              <w:rPr>
                <w:rFonts w:hint="eastAsia" w:ascii="仿宋" w:hAnsi="仿宋" w:eastAsia="仿宋" w:cs="等线"/>
                <w:color w:val="000000"/>
                <w:kern w:val="0"/>
                <w:sz w:val="24"/>
                <w:lang w:bidi="ar"/>
              </w:rPr>
              <w:t>以训练学生大胆上台，敢于表现为目的，以参与式、体验式教学为主题，提高学生的台上表现能力，语言表达能力。</w:t>
            </w:r>
          </w:p>
        </w:tc>
      </w:tr>
    </w:tbl>
    <w:p>
      <w:pPr>
        <w:pStyle w:val="3"/>
        <w:keepNext w:val="0"/>
        <w:keepLines w:val="0"/>
        <w:adjustRightInd w:val="0"/>
        <w:snapToGrid w:val="0"/>
        <w:spacing w:before="156" w:beforeLines="50" w:line="360" w:lineRule="auto"/>
        <w:ind w:firstLine="482" w:firstLineChars="200"/>
        <w:rPr>
          <w:rFonts w:ascii="黑体" w:hAnsi="黑体"/>
          <w:sz w:val="24"/>
        </w:rPr>
      </w:pPr>
      <w:r>
        <w:rPr>
          <w:rFonts w:hint="eastAsia" w:ascii="黑体" w:hAnsi="黑体"/>
          <w:sz w:val="24"/>
        </w:rPr>
        <w:t>3.5.5团组织、学生会建设及活动</w:t>
      </w:r>
      <w:bookmarkEnd w:id="51"/>
    </w:p>
    <w:p>
      <w:pPr>
        <w:pStyle w:val="3"/>
        <w:keepNext w:val="0"/>
        <w:keepLines w:val="0"/>
        <w:adjustRightInd w:val="0"/>
        <w:snapToGrid w:val="0"/>
        <w:spacing w:line="360" w:lineRule="auto"/>
        <w:ind w:firstLine="480" w:firstLineChars="200"/>
        <w:rPr>
          <w:rFonts w:cs="Arial" w:asciiTheme="minorEastAsia" w:hAnsiTheme="minorEastAsia" w:eastAsiaTheme="minorEastAsia"/>
          <w:b w:val="0"/>
          <w:kern w:val="0"/>
          <w:sz w:val="24"/>
        </w:rPr>
      </w:pPr>
      <w:bookmarkStart w:id="52" w:name="_Toc471905466"/>
      <w:bookmarkStart w:id="53" w:name="_Toc471905943"/>
      <w:r>
        <w:rPr>
          <w:rFonts w:hint="eastAsia" w:cs="Arial" w:asciiTheme="minorEastAsia" w:hAnsiTheme="minorEastAsia" w:eastAsiaTheme="minorEastAsia"/>
          <w:b w:val="0"/>
          <w:kern w:val="0"/>
          <w:sz w:val="24"/>
        </w:rPr>
        <w:t>校团委在校党支部和上级团组织领导下，重视团员青年素质教育，以团校、党校为依托，积极开展党团理论的学习教育，提高广大青年团员的意识。截止2019年底，我校共有团员883人，发展团员90人，团青比例29.7%。规范建立团支部电子档案和团员电子档案，团费收缴和团籍注册达100%。全年共有132人次向党组织递交入党申请书，通过考察向党组织推荐49名优秀学生作为入党积极分子培养对象。</w:t>
      </w:r>
      <w:bookmarkEnd w:id="52"/>
      <w:bookmarkEnd w:id="53"/>
      <w:r>
        <w:rPr>
          <w:rFonts w:hint="eastAsia" w:cs="Arial" w:asciiTheme="minorEastAsia" w:hAnsiTheme="minorEastAsia" w:eastAsiaTheme="minorEastAsia"/>
          <w:b w:val="0"/>
          <w:kern w:val="0"/>
          <w:sz w:val="24"/>
        </w:rPr>
        <w:t>2019年度，团组织活动以党的十九大精神和习近平总书记重要系列讲话为引领，以社会主义核心价值观培育为中心，围绕学校天使育人，以系列主题教育和公益活动为抓手，展现团员先进榜样，营造浓厚天使文化氛围，推进全体学生向上、向善、向美，为培育优秀“海卫天使”助力。</w:t>
      </w:r>
    </w:p>
    <w:p>
      <w:pPr>
        <w:pStyle w:val="3"/>
        <w:keepNext w:val="0"/>
        <w:keepLines w:val="0"/>
        <w:adjustRightInd w:val="0"/>
        <w:snapToGrid w:val="0"/>
        <w:spacing w:line="360" w:lineRule="auto"/>
        <w:ind w:firstLine="482" w:firstLineChars="200"/>
        <w:rPr>
          <w:rFonts w:cs="宋体" w:asciiTheme="minorEastAsia" w:hAnsiTheme="minorEastAsia" w:eastAsiaTheme="minorEastAsia"/>
          <w:bCs/>
          <w:sz w:val="24"/>
        </w:rPr>
      </w:pPr>
      <w:r>
        <w:rPr>
          <w:rFonts w:hint="eastAsia" w:cs="宋体" w:asciiTheme="minorEastAsia" w:hAnsiTheme="minorEastAsia" w:eastAsiaTheme="minorEastAsia"/>
          <w:kern w:val="0"/>
          <w:sz w:val="24"/>
        </w:rPr>
        <w:t>表10：2019年度学校</w:t>
      </w:r>
      <w:r>
        <w:rPr>
          <w:rFonts w:hint="eastAsia" w:asciiTheme="minorEastAsia" w:hAnsiTheme="minorEastAsia" w:eastAsiaTheme="minorEastAsia"/>
          <w:bCs/>
          <w:sz w:val="24"/>
        </w:rPr>
        <w:t>团委</w:t>
      </w:r>
      <w:r>
        <w:rPr>
          <w:rFonts w:hint="eastAsia" w:cs="宋体" w:asciiTheme="minorEastAsia" w:hAnsiTheme="minorEastAsia" w:eastAsiaTheme="minorEastAsia"/>
          <w:bCs/>
          <w:sz w:val="24"/>
        </w:rPr>
        <w:t>主要活动情况一览表</w:t>
      </w:r>
    </w:p>
    <w:tbl>
      <w:tblPr>
        <w:tblStyle w:val="14"/>
        <w:tblW w:w="9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701"/>
        <w:gridCol w:w="1701"/>
        <w:gridCol w:w="4070"/>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hint="eastAsia" w:ascii="仿宋" w:hAnsi="仿宋" w:eastAsia="仿宋"/>
                <w:bCs/>
                <w:sz w:val="24"/>
              </w:rPr>
              <w:t>序号</w:t>
            </w:r>
          </w:p>
        </w:tc>
        <w:tc>
          <w:tcPr>
            <w:tcW w:w="1701" w:type="dxa"/>
            <w:vAlign w:val="center"/>
          </w:tcPr>
          <w:p>
            <w:pPr>
              <w:snapToGrid w:val="0"/>
              <w:spacing w:after="120"/>
              <w:jc w:val="center"/>
              <w:rPr>
                <w:rFonts w:ascii="仿宋" w:hAnsi="仿宋" w:eastAsia="仿宋"/>
                <w:bCs/>
                <w:sz w:val="24"/>
              </w:rPr>
            </w:pPr>
            <w:r>
              <w:rPr>
                <w:rFonts w:hint="eastAsia" w:ascii="仿宋" w:hAnsi="仿宋" w:eastAsia="仿宋"/>
                <w:bCs/>
                <w:sz w:val="24"/>
              </w:rPr>
              <w:t>日期</w:t>
            </w:r>
          </w:p>
        </w:tc>
        <w:tc>
          <w:tcPr>
            <w:tcW w:w="1701" w:type="dxa"/>
            <w:vAlign w:val="center"/>
          </w:tcPr>
          <w:p>
            <w:pPr>
              <w:snapToGrid w:val="0"/>
              <w:spacing w:after="120"/>
              <w:jc w:val="center"/>
              <w:rPr>
                <w:rFonts w:ascii="仿宋" w:hAnsi="仿宋" w:eastAsia="仿宋"/>
                <w:bCs/>
                <w:sz w:val="24"/>
              </w:rPr>
            </w:pPr>
            <w:r>
              <w:rPr>
                <w:rFonts w:hint="eastAsia" w:ascii="仿宋" w:hAnsi="仿宋" w:eastAsia="仿宋"/>
                <w:bCs/>
                <w:sz w:val="24"/>
              </w:rPr>
              <w:t>地点</w:t>
            </w:r>
          </w:p>
        </w:tc>
        <w:tc>
          <w:tcPr>
            <w:tcW w:w="4070" w:type="dxa"/>
            <w:vAlign w:val="center"/>
          </w:tcPr>
          <w:p>
            <w:pPr>
              <w:snapToGrid w:val="0"/>
              <w:spacing w:after="120"/>
              <w:jc w:val="center"/>
              <w:rPr>
                <w:rFonts w:ascii="仿宋" w:hAnsi="仿宋" w:eastAsia="仿宋"/>
                <w:bCs/>
                <w:sz w:val="24"/>
              </w:rPr>
            </w:pPr>
            <w:r>
              <w:rPr>
                <w:rFonts w:hint="eastAsia" w:ascii="仿宋" w:hAnsi="仿宋" w:eastAsia="仿宋"/>
                <w:bCs/>
                <w:sz w:val="24"/>
              </w:rPr>
              <w:t>活动主题</w:t>
            </w:r>
          </w:p>
        </w:tc>
        <w:tc>
          <w:tcPr>
            <w:tcW w:w="1556" w:type="dxa"/>
            <w:vAlign w:val="center"/>
          </w:tcPr>
          <w:p>
            <w:pPr>
              <w:snapToGrid w:val="0"/>
              <w:spacing w:after="120"/>
              <w:jc w:val="center"/>
              <w:rPr>
                <w:rFonts w:ascii="仿宋" w:hAnsi="仿宋" w:eastAsia="仿宋"/>
                <w:bCs/>
                <w:sz w:val="24"/>
              </w:rPr>
            </w:pPr>
            <w:r>
              <w:rPr>
                <w:rFonts w:hint="eastAsia" w:ascii="仿宋" w:hAnsi="仿宋" w:eastAsia="仿宋"/>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ascii="仿宋" w:hAnsi="仿宋" w:eastAsia="仿宋"/>
                <w:bCs/>
                <w:sz w:val="24"/>
              </w:rPr>
              <w:t>1</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2019.3.9</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海宁卫校</w:t>
            </w:r>
          </w:p>
        </w:tc>
        <w:tc>
          <w:tcPr>
            <w:tcW w:w="4070" w:type="dxa"/>
            <w:vAlign w:val="bottom"/>
          </w:tcPr>
          <w:p>
            <w:pPr>
              <w:pStyle w:val="5"/>
              <w:snapToGrid w:val="0"/>
              <w:jc w:val="center"/>
              <w:rPr>
                <w:rFonts w:ascii="仿宋" w:hAnsi="仿宋" w:eastAsia="仿宋"/>
                <w:bCs/>
                <w:sz w:val="24"/>
                <w:szCs w:val="24"/>
              </w:rPr>
            </w:pPr>
            <w:r>
              <w:rPr>
                <w:rFonts w:hint="eastAsia" w:ascii="仿宋" w:hAnsi="仿宋" w:eastAsia="仿宋"/>
                <w:bCs/>
                <w:sz w:val="24"/>
                <w:szCs w:val="24"/>
              </w:rPr>
              <w:t>文明校园从你我做起</w:t>
            </w:r>
          </w:p>
        </w:tc>
        <w:tc>
          <w:tcPr>
            <w:tcW w:w="1556"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志愿者活动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hint="eastAsia" w:ascii="仿宋" w:hAnsi="仿宋" w:eastAsia="仿宋"/>
                <w:bCs/>
                <w:sz w:val="24"/>
              </w:rPr>
              <w:t>2</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2019.3</w:t>
            </w:r>
            <w:r>
              <w:rPr>
                <w:rFonts w:ascii="仿宋" w:hAnsi="仿宋" w:eastAsia="仿宋"/>
                <w:bCs/>
                <w:sz w:val="24"/>
              </w:rPr>
              <w:t>.</w:t>
            </w:r>
            <w:r>
              <w:rPr>
                <w:rFonts w:hint="eastAsia" w:ascii="仿宋" w:hAnsi="仿宋" w:eastAsia="仿宋"/>
                <w:bCs/>
                <w:sz w:val="24"/>
              </w:rPr>
              <w:t>25</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rPr>
              <w:t>六楼报告厅</w:t>
            </w:r>
          </w:p>
        </w:tc>
        <w:tc>
          <w:tcPr>
            <w:tcW w:w="4070" w:type="dxa"/>
            <w:vAlign w:val="bottom"/>
          </w:tcPr>
          <w:p>
            <w:pPr>
              <w:pStyle w:val="5"/>
              <w:snapToGrid w:val="0"/>
              <w:rPr>
                <w:rFonts w:ascii="仿宋" w:hAnsi="仿宋" w:eastAsia="仿宋"/>
                <w:bCs/>
                <w:sz w:val="24"/>
                <w:szCs w:val="24"/>
              </w:rPr>
            </w:pPr>
            <w:r>
              <w:rPr>
                <w:rFonts w:hint="eastAsia" w:ascii="仿宋" w:hAnsi="仿宋" w:eastAsia="仿宋"/>
                <w:bCs/>
                <w:sz w:val="24"/>
                <w:szCs w:val="24"/>
              </w:rPr>
              <w:t>弘扬雷锋精神，做文明有礼海卫人</w:t>
            </w:r>
          </w:p>
        </w:tc>
        <w:tc>
          <w:tcPr>
            <w:tcW w:w="1556" w:type="dxa"/>
            <w:vAlign w:val="center"/>
          </w:tcPr>
          <w:p>
            <w:pPr>
              <w:pStyle w:val="5"/>
              <w:snapToGrid w:val="0"/>
              <w:jc w:val="center"/>
              <w:rPr>
                <w:rFonts w:cs="宋体"/>
                <w:sz w:val="24"/>
                <w:szCs w:val="24"/>
              </w:rPr>
            </w:pPr>
            <w:r>
              <w:rPr>
                <w:rFonts w:hint="eastAsia" w:ascii="仿宋" w:hAnsi="仿宋" w:eastAsia="仿宋"/>
                <w:bCs/>
                <w:sz w:val="24"/>
                <w:szCs w:val="24"/>
              </w:rPr>
              <w:t>天使讲堂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ascii="仿宋" w:hAnsi="仿宋" w:eastAsia="仿宋"/>
                <w:bCs/>
                <w:sz w:val="24"/>
              </w:rPr>
              <w:t>3</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2019.3.31</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李善兰公园</w:t>
            </w:r>
          </w:p>
        </w:tc>
        <w:tc>
          <w:tcPr>
            <w:tcW w:w="4070" w:type="dxa"/>
            <w:vAlign w:val="bottom"/>
          </w:tcPr>
          <w:p>
            <w:pPr>
              <w:pStyle w:val="5"/>
              <w:snapToGrid w:val="0"/>
              <w:jc w:val="center"/>
              <w:rPr>
                <w:rFonts w:ascii="仿宋" w:hAnsi="仿宋" w:eastAsia="仿宋"/>
                <w:bCs/>
                <w:sz w:val="24"/>
                <w:szCs w:val="24"/>
              </w:rPr>
            </w:pPr>
            <w:r>
              <w:rPr>
                <w:rFonts w:hint="eastAsia" w:ascii="仿宋" w:hAnsi="仿宋" w:eastAsia="仿宋"/>
                <w:bCs/>
                <w:sz w:val="24"/>
                <w:szCs w:val="24"/>
              </w:rPr>
              <w:t>缅怀革命先烈，传承红色精神</w:t>
            </w:r>
          </w:p>
        </w:tc>
        <w:tc>
          <w:tcPr>
            <w:tcW w:w="1556"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志愿者活动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hint="eastAsia" w:ascii="仿宋" w:hAnsi="仿宋" w:eastAsia="仿宋"/>
                <w:bCs/>
                <w:sz w:val="24"/>
              </w:rPr>
              <w:t>4</w:t>
            </w:r>
          </w:p>
        </w:tc>
        <w:tc>
          <w:tcPr>
            <w:tcW w:w="1701" w:type="dxa"/>
            <w:vAlign w:val="center"/>
          </w:tcPr>
          <w:p>
            <w:pPr>
              <w:snapToGrid w:val="0"/>
              <w:spacing w:after="120"/>
              <w:jc w:val="center"/>
              <w:rPr>
                <w:rFonts w:ascii="仿宋" w:hAnsi="仿宋" w:eastAsia="仿宋"/>
                <w:bCs/>
                <w:sz w:val="24"/>
              </w:rPr>
            </w:pPr>
            <w:r>
              <w:rPr>
                <w:rFonts w:hint="eastAsia" w:ascii="仿宋" w:hAnsi="仿宋" w:eastAsia="仿宋"/>
                <w:bCs/>
                <w:sz w:val="24"/>
              </w:rPr>
              <w:t>2019</w:t>
            </w:r>
            <w:r>
              <w:rPr>
                <w:rFonts w:ascii="仿宋" w:hAnsi="仿宋" w:eastAsia="仿宋"/>
                <w:bCs/>
                <w:sz w:val="24"/>
              </w:rPr>
              <w:t>.</w:t>
            </w:r>
            <w:r>
              <w:rPr>
                <w:rFonts w:hint="eastAsia" w:ascii="仿宋" w:hAnsi="仿宋" w:eastAsia="仿宋"/>
                <w:bCs/>
                <w:sz w:val="24"/>
              </w:rPr>
              <w:t>4</w:t>
            </w:r>
            <w:r>
              <w:rPr>
                <w:rFonts w:ascii="仿宋" w:hAnsi="仿宋" w:eastAsia="仿宋"/>
                <w:bCs/>
                <w:sz w:val="24"/>
              </w:rPr>
              <w:t>.</w:t>
            </w:r>
            <w:r>
              <w:rPr>
                <w:rFonts w:hint="eastAsia" w:ascii="仿宋" w:hAnsi="仿宋" w:eastAsia="仿宋"/>
                <w:bCs/>
                <w:sz w:val="24"/>
              </w:rPr>
              <w:t>11</w:t>
            </w:r>
          </w:p>
        </w:tc>
        <w:tc>
          <w:tcPr>
            <w:tcW w:w="1701" w:type="dxa"/>
            <w:vAlign w:val="center"/>
          </w:tcPr>
          <w:p>
            <w:pPr>
              <w:snapToGrid w:val="0"/>
              <w:spacing w:after="120"/>
              <w:jc w:val="center"/>
              <w:rPr>
                <w:rFonts w:ascii="仿宋" w:hAnsi="仿宋" w:eastAsia="仿宋"/>
                <w:bCs/>
                <w:sz w:val="24"/>
              </w:rPr>
            </w:pPr>
            <w:r>
              <w:rPr>
                <w:rFonts w:hint="eastAsia" w:ascii="仿宋" w:hAnsi="仿宋" w:eastAsia="仿宋"/>
                <w:bCs/>
                <w:sz w:val="24"/>
              </w:rPr>
              <w:t>六楼报告厅</w:t>
            </w:r>
          </w:p>
        </w:tc>
        <w:tc>
          <w:tcPr>
            <w:tcW w:w="4070" w:type="dxa"/>
            <w:vAlign w:val="center"/>
          </w:tcPr>
          <w:p>
            <w:pPr>
              <w:jc w:val="center"/>
              <w:rPr>
                <w:rFonts w:ascii="仿宋" w:hAnsi="仿宋" w:eastAsia="仿宋"/>
                <w:bCs/>
                <w:sz w:val="24"/>
              </w:rPr>
            </w:pPr>
            <w:r>
              <w:rPr>
                <w:rFonts w:hint="eastAsia" w:ascii="仿宋" w:hAnsi="仿宋" w:eastAsia="仿宋"/>
                <w:bCs/>
                <w:sz w:val="24"/>
              </w:rPr>
              <w:t>弘扬五四精神 挥洒火热青春</w:t>
            </w:r>
          </w:p>
        </w:tc>
        <w:tc>
          <w:tcPr>
            <w:tcW w:w="1556" w:type="dxa"/>
            <w:vAlign w:val="center"/>
          </w:tcPr>
          <w:p>
            <w:pPr>
              <w:jc w:val="center"/>
              <w:rPr>
                <w:rFonts w:ascii="仿宋" w:hAnsi="仿宋" w:eastAsia="仿宋"/>
                <w:bCs/>
                <w:sz w:val="24"/>
              </w:rPr>
            </w:pPr>
            <w:r>
              <w:rPr>
                <w:rFonts w:hint="eastAsia" w:ascii="仿宋" w:hAnsi="仿宋" w:eastAsia="仿宋"/>
                <w:bCs/>
                <w:sz w:val="24"/>
              </w:rPr>
              <w:t>团课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ascii="仿宋" w:hAnsi="仿宋" w:eastAsia="仿宋"/>
                <w:bCs/>
                <w:sz w:val="24"/>
              </w:rPr>
              <w:t>5</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2019.4</w:t>
            </w:r>
            <w:r>
              <w:rPr>
                <w:rFonts w:ascii="仿宋" w:hAnsi="仿宋" w:eastAsia="仿宋"/>
                <w:bCs/>
                <w:sz w:val="24"/>
              </w:rPr>
              <w:t>.</w:t>
            </w:r>
            <w:r>
              <w:rPr>
                <w:rFonts w:hint="eastAsia" w:ascii="仿宋" w:hAnsi="仿宋" w:eastAsia="仿宋"/>
                <w:bCs/>
                <w:sz w:val="24"/>
              </w:rPr>
              <w:t>26</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六楼报告厅</w:t>
            </w:r>
          </w:p>
        </w:tc>
        <w:tc>
          <w:tcPr>
            <w:tcW w:w="4070"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诚为人之本，信为人之先</w:t>
            </w:r>
          </w:p>
        </w:tc>
        <w:tc>
          <w:tcPr>
            <w:tcW w:w="1556" w:type="dxa"/>
            <w:vAlign w:val="center"/>
          </w:tcPr>
          <w:p>
            <w:pPr>
              <w:jc w:val="center"/>
              <w:rPr>
                <w:rFonts w:ascii="仿宋" w:hAnsi="仿宋" w:eastAsia="仿宋"/>
                <w:bCs/>
                <w:color w:val="FF0000"/>
                <w:sz w:val="24"/>
              </w:rPr>
            </w:pPr>
            <w:r>
              <w:rPr>
                <w:rFonts w:hint="eastAsia" w:ascii="仿宋" w:hAnsi="仿宋" w:eastAsia="仿宋"/>
                <w:bCs/>
                <w:sz w:val="24"/>
              </w:rPr>
              <w:t>天使讲堂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ascii="仿宋" w:hAnsi="仿宋" w:eastAsia="仿宋"/>
                <w:bCs/>
                <w:sz w:val="24"/>
              </w:rPr>
              <w:t>6</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2019.5.11</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海宁卫校</w:t>
            </w:r>
          </w:p>
        </w:tc>
        <w:tc>
          <w:tcPr>
            <w:tcW w:w="4070"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发扬五四精神，传承中华传统美德</w:t>
            </w:r>
          </w:p>
        </w:tc>
        <w:tc>
          <w:tcPr>
            <w:tcW w:w="1556" w:type="dxa"/>
            <w:vAlign w:val="center"/>
          </w:tcPr>
          <w:p>
            <w:pPr>
              <w:jc w:val="center"/>
              <w:rPr>
                <w:rFonts w:ascii="仿宋" w:hAnsi="仿宋" w:eastAsia="仿宋"/>
                <w:bCs/>
                <w:sz w:val="24"/>
              </w:rPr>
            </w:pPr>
            <w:r>
              <w:rPr>
                <w:rFonts w:hint="eastAsia" w:ascii="仿宋" w:hAnsi="仿宋" w:eastAsia="仿宋"/>
                <w:bCs/>
                <w:sz w:val="24"/>
              </w:rPr>
              <w:t>志愿者活动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ascii="仿宋" w:hAnsi="仿宋" w:eastAsia="仿宋"/>
                <w:bCs/>
                <w:sz w:val="24"/>
              </w:rPr>
              <w:t>7</w:t>
            </w:r>
          </w:p>
        </w:tc>
        <w:tc>
          <w:tcPr>
            <w:tcW w:w="1701" w:type="dxa"/>
            <w:vAlign w:val="center"/>
          </w:tcPr>
          <w:p>
            <w:pPr>
              <w:snapToGrid w:val="0"/>
              <w:spacing w:after="120"/>
              <w:jc w:val="center"/>
              <w:rPr>
                <w:rFonts w:ascii="仿宋" w:hAnsi="仿宋" w:eastAsia="仿宋"/>
                <w:bCs/>
                <w:sz w:val="24"/>
              </w:rPr>
            </w:pPr>
            <w:r>
              <w:rPr>
                <w:rFonts w:hint="eastAsia" w:ascii="仿宋" w:hAnsi="仿宋" w:eastAsia="仿宋"/>
                <w:sz w:val="24"/>
              </w:rPr>
              <w:t>2019.5</w:t>
            </w:r>
            <w:r>
              <w:rPr>
                <w:rFonts w:ascii="仿宋" w:hAnsi="仿宋" w:eastAsia="仿宋"/>
                <w:bCs/>
                <w:sz w:val="24"/>
              </w:rPr>
              <w:t>.</w:t>
            </w:r>
            <w:r>
              <w:rPr>
                <w:rFonts w:hint="eastAsia" w:ascii="仿宋" w:hAnsi="仿宋" w:eastAsia="仿宋"/>
                <w:sz w:val="24"/>
              </w:rPr>
              <w:t>24</w:t>
            </w:r>
          </w:p>
        </w:tc>
        <w:tc>
          <w:tcPr>
            <w:tcW w:w="1701" w:type="dxa"/>
            <w:vAlign w:val="center"/>
          </w:tcPr>
          <w:p>
            <w:pPr>
              <w:jc w:val="center"/>
              <w:rPr>
                <w:rFonts w:ascii="仿宋" w:hAnsi="仿宋" w:eastAsia="仿宋"/>
                <w:bCs/>
                <w:sz w:val="24"/>
              </w:rPr>
            </w:pPr>
            <w:r>
              <w:rPr>
                <w:rFonts w:hint="eastAsia" w:ascii="仿宋" w:hAnsi="仿宋" w:eastAsia="仿宋"/>
                <w:bCs/>
                <w:sz w:val="24"/>
              </w:rPr>
              <w:t>六楼报告厅</w:t>
            </w:r>
          </w:p>
        </w:tc>
        <w:tc>
          <w:tcPr>
            <w:tcW w:w="4070" w:type="dxa"/>
            <w:vAlign w:val="center"/>
          </w:tcPr>
          <w:p>
            <w:pPr>
              <w:jc w:val="center"/>
              <w:rPr>
                <w:rFonts w:ascii="仿宋" w:hAnsi="仿宋" w:eastAsia="仿宋"/>
                <w:bCs/>
                <w:sz w:val="24"/>
              </w:rPr>
            </w:pPr>
            <w:r>
              <w:rPr>
                <w:rFonts w:hint="eastAsia" w:ascii="仿宋" w:hAnsi="仿宋" w:eastAsia="仿宋"/>
                <w:bCs/>
                <w:sz w:val="24"/>
              </w:rPr>
              <w:t>传五四薪火·扬时代风帆</w:t>
            </w:r>
          </w:p>
        </w:tc>
        <w:tc>
          <w:tcPr>
            <w:tcW w:w="1556" w:type="dxa"/>
            <w:vAlign w:val="center"/>
          </w:tcPr>
          <w:p>
            <w:pPr>
              <w:jc w:val="center"/>
              <w:rPr>
                <w:rFonts w:ascii="仿宋" w:hAnsi="仿宋" w:eastAsia="仿宋"/>
                <w:bCs/>
                <w:color w:val="FF0000"/>
                <w:sz w:val="24"/>
              </w:rPr>
            </w:pPr>
            <w:r>
              <w:rPr>
                <w:rFonts w:hint="eastAsia" w:ascii="仿宋" w:hAnsi="仿宋" w:eastAsia="仿宋"/>
                <w:bCs/>
                <w:sz w:val="24"/>
              </w:rPr>
              <w:t>天使讲堂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hint="eastAsia" w:ascii="仿宋" w:hAnsi="仿宋" w:eastAsia="仿宋"/>
                <w:bCs/>
                <w:sz w:val="24"/>
              </w:rPr>
              <w:t>8</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2019.6.1</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海宁卫校</w:t>
            </w:r>
          </w:p>
        </w:tc>
        <w:tc>
          <w:tcPr>
            <w:tcW w:w="4070"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去除杂草，与药草同行</w:t>
            </w:r>
          </w:p>
        </w:tc>
        <w:tc>
          <w:tcPr>
            <w:tcW w:w="1556" w:type="dxa"/>
            <w:vAlign w:val="center"/>
          </w:tcPr>
          <w:p>
            <w:pPr>
              <w:pStyle w:val="5"/>
              <w:snapToGrid w:val="0"/>
              <w:jc w:val="center"/>
              <w:rPr>
                <w:rFonts w:ascii="仿宋" w:hAnsi="仿宋" w:eastAsia="仿宋"/>
                <w:bCs/>
                <w:sz w:val="24"/>
              </w:rPr>
            </w:pPr>
            <w:r>
              <w:rPr>
                <w:rFonts w:hint="eastAsia" w:ascii="仿宋" w:hAnsi="仿宋" w:eastAsia="仿宋"/>
                <w:bCs/>
                <w:sz w:val="24"/>
              </w:rPr>
              <w:t>志愿者活动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hint="eastAsia" w:ascii="仿宋" w:hAnsi="仿宋" w:eastAsia="仿宋"/>
                <w:bCs/>
                <w:sz w:val="24"/>
              </w:rPr>
              <w:t>9</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2019.8.30</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海宁卫校</w:t>
            </w:r>
          </w:p>
        </w:tc>
        <w:tc>
          <w:tcPr>
            <w:tcW w:w="4070"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接过你的行囊,我们就是一家人</w:t>
            </w:r>
          </w:p>
        </w:tc>
        <w:tc>
          <w:tcPr>
            <w:tcW w:w="1556" w:type="dxa"/>
            <w:vAlign w:val="center"/>
          </w:tcPr>
          <w:p>
            <w:pPr>
              <w:jc w:val="center"/>
              <w:rPr>
                <w:rFonts w:ascii="仿宋" w:hAnsi="仿宋" w:eastAsia="仿宋"/>
                <w:bCs/>
                <w:sz w:val="24"/>
              </w:rPr>
            </w:pPr>
            <w:r>
              <w:rPr>
                <w:rFonts w:hint="eastAsia" w:ascii="仿宋" w:hAnsi="仿宋" w:eastAsia="仿宋"/>
                <w:bCs/>
                <w:sz w:val="24"/>
              </w:rPr>
              <w:t>志愿者活动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hint="eastAsia" w:ascii="仿宋" w:hAnsi="仿宋" w:eastAsia="仿宋"/>
                <w:bCs/>
                <w:sz w:val="24"/>
              </w:rPr>
              <w:t>10</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2019.9.21</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海宁卫校</w:t>
            </w:r>
          </w:p>
        </w:tc>
        <w:tc>
          <w:tcPr>
            <w:tcW w:w="4070"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万物有情，小心呵护</w:t>
            </w:r>
          </w:p>
        </w:tc>
        <w:tc>
          <w:tcPr>
            <w:tcW w:w="1556" w:type="dxa"/>
            <w:vAlign w:val="center"/>
          </w:tcPr>
          <w:p>
            <w:pPr>
              <w:pStyle w:val="5"/>
              <w:snapToGrid w:val="0"/>
              <w:jc w:val="center"/>
              <w:rPr>
                <w:rFonts w:ascii="仿宋" w:hAnsi="仿宋" w:eastAsia="仿宋"/>
                <w:bCs/>
                <w:sz w:val="24"/>
                <w:szCs w:val="24"/>
              </w:rPr>
            </w:pPr>
            <w:r>
              <w:rPr>
                <w:rFonts w:hint="eastAsia" w:ascii="仿宋" w:hAnsi="仿宋" w:eastAsia="仿宋"/>
                <w:bCs/>
                <w:sz w:val="24"/>
              </w:rPr>
              <w:t>志愿者活动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hint="eastAsia" w:ascii="仿宋" w:hAnsi="仿宋" w:eastAsia="仿宋"/>
                <w:bCs/>
                <w:sz w:val="24"/>
              </w:rPr>
              <w:t>11</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2019.9.28</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海宁卫校</w:t>
            </w:r>
          </w:p>
        </w:tc>
        <w:tc>
          <w:tcPr>
            <w:tcW w:w="4070"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整洁校园，你我共建</w:t>
            </w:r>
          </w:p>
        </w:tc>
        <w:tc>
          <w:tcPr>
            <w:tcW w:w="1556" w:type="dxa"/>
            <w:vAlign w:val="center"/>
          </w:tcPr>
          <w:p>
            <w:pPr>
              <w:jc w:val="center"/>
              <w:rPr>
                <w:rFonts w:ascii="仿宋" w:hAnsi="仿宋" w:eastAsia="仿宋"/>
                <w:bCs/>
                <w:sz w:val="24"/>
                <w:szCs w:val="21"/>
              </w:rPr>
            </w:pPr>
            <w:r>
              <w:rPr>
                <w:rFonts w:hint="eastAsia" w:ascii="仿宋" w:hAnsi="仿宋" w:eastAsia="仿宋"/>
                <w:bCs/>
                <w:sz w:val="24"/>
              </w:rPr>
              <w:t>志愿者活动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hint="eastAsia" w:ascii="仿宋" w:hAnsi="仿宋" w:eastAsia="仿宋"/>
                <w:bCs/>
                <w:sz w:val="24"/>
              </w:rPr>
              <w:t>12</w:t>
            </w:r>
          </w:p>
        </w:tc>
        <w:tc>
          <w:tcPr>
            <w:tcW w:w="1701" w:type="dxa"/>
            <w:vAlign w:val="center"/>
          </w:tcPr>
          <w:p>
            <w:pPr>
              <w:snapToGrid w:val="0"/>
              <w:spacing w:after="120"/>
              <w:jc w:val="center"/>
              <w:rPr>
                <w:rFonts w:ascii="仿宋" w:hAnsi="仿宋" w:eastAsia="仿宋"/>
                <w:bCs/>
                <w:sz w:val="24"/>
              </w:rPr>
            </w:pPr>
            <w:r>
              <w:rPr>
                <w:rFonts w:hint="eastAsia" w:ascii="仿宋" w:hAnsi="仿宋" w:eastAsia="仿宋"/>
                <w:bCs/>
                <w:sz w:val="24"/>
              </w:rPr>
              <w:t>2</w:t>
            </w:r>
            <w:r>
              <w:rPr>
                <w:rFonts w:ascii="仿宋" w:hAnsi="仿宋" w:eastAsia="仿宋"/>
                <w:bCs/>
                <w:sz w:val="24"/>
              </w:rPr>
              <w:t>019.10.7</w:t>
            </w:r>
          </w:p>
        </w:tc>
        <w:tc>
          <w:tcPr>
            <w:tcW w:w="1701" w:type="dxa"/>
            <w:vAlign w:val="center"/>
          </w:tcPr>
          <w:p>
            <w:pPr>
              <w:snapToGrid w:val="0"/>
              <w:spacing w:after="120"/>
              <w:jc w:val="center"/>
              <w:rPr>
                <w:rFonts w:ascii="仿宋" w:hAnsi="仿宋" w:eastAsia="仿宋"/>
                <w:bCs/>
                <w:sz w:val="24"/>
              </w:rPr>
            </w:pPr>
            <w:r>
              <w:rPr>
                <w:rFonts w:hint="eastAsia" w:ascii="仿宋" w:hAnsi="仿宋" w:eastAsia="仿宋"/>
                <w:bCs/>
                <w:sz w:val="24"/>
              </w:rPr>
              <w:t>海洲街道</w:t>
            </w:r>
            <w:r>
              <w:rPr>
                <w:rFonts w:ascii="仿宋" w:hAnsi="仿宋" w:eastAsia="仿宋"/>
                <w:bCs/>
                <w:sz w:val="24"/>
              </w:rPr>
              <w:t>敬老院</w:t>
            </w:r>
          </w:p>
        </w:tc>
        <w:tc>
          <w:tcPr>
            <w:tcW w:w="4070" w:type="dxa"/>
            <w:vAlign w:val="center"/>
          </w:tcPr>
          <w:p>
            <w:pPr>
              <w:jc w:val="center"/>
              <w:rPr>
                <w:rFonts w:ascii="仿宋" w:hAnsi="仿宋" w:eastAsia="仿宋"/>
                <w:bCs/>
                <w:sz w:val="24"/>
              </w:rPr>
            </w:pPr>
            <w:r>
              <w:rPr>
                <w:rFonts w:hint="eastAsia" w:ascii="仿宋" w:hAnsi="仿宋" w:eastAsia="仿宋"/>
                <w:bCs/>
                <w:sz w:val="24"/>
              </w:rPr>
              <w:t>幸福之行，关爱老人</w:t>
            </w:r>
          </w:p>
        </w:tc>
        <w:tc>
          <w:tcPr>
            <w:tcW w:w="1556" w:type="dxa"/>
            <w:vAlign w:val="center"/>
          </w:tcPr>
          <w:p>
            <w:pPr>
              <w:jc w:val="center"/>
              <w:rPr>
                <w:rFonts w:ascii="仿宋" w:hAnsi="仿宋" w:eastAsia="仿宋"/>
                <w:bCs/>
                <w:sz w:val="24"/>
              </w:rPr>
            </w:pPr>
            <w:r>
              <w:rPr>
                <w:rFonts w:hint="eastAsia" w:ascii="仿宋" w:hAnsi="仿宋" w:eastAsia="仿宋"/>
                <w:bCs/>
                <w:sz w:val="24"/>
              </w:rPr>
              <w:t>敬老院志愿者活动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hint="eastAsia" w:ascii="仿宋" w:hAnsi="仿宋" w:eastAsia="仿宋"/>
                <w:bCs/>
                <w:sz w:val="24"/>
              </w:rPr>
              <w:t>13</w:t>
            </w:r>
          </w:p>
        </w:tc>
        <w:tc>
          <w:tcPr>
            <w:tcW w:w="1701" w:type="dxa"/>
            <w:vAlign w:val="center"/>
          </w:tcPr>
          <w:p>
            <w:pPr>
              <w:snapToGrid w:val="0"/>
              <w:spacing w:after="120"/>
              <w:jc w:val="center"/>
              <w:rPr>
                <w:rFonts w:ascii="仿宋" w:hAnsi="仿宋" w:eastAsia="仿宋"/>
                <w:bCs/>
                <w:sz w:val="24"/>
              </w:rPr>
            </w:pPr>
            <w:r>
              <w:rPr>
                <w:rFonts w:hint="eastAsia" w:ascii="仿宋" w:hAnsi="仿宋" w:eastAsia="仿宋"/>
                <w:bCs/>
                <w:sz w:val="24"/>
              </w:rPr>
              <w:t>2019.10.20</w:t>
            </w:r>
          </w:p>
        </w:tc>
        <w:tc>
          <w:tcPr>
            <w:tcW w:w="1701" w:type="dxa"/>
            <w:vAlign w:val="center"/>
          </w:tcPr>
          <w:p>
            <w:pPr>
              <w:snapToGrid w:val="0"/>
              <w:spacing w:after="120"/>
              <w:jc w:val="center"/>
              <w:rPr>
                <w:rFonts w:ascii="仿宋" w:hAnsi="仿宋" w:eastAsia="仿宋"/>
                <w:bCs/>
                <w:sz w:val="24"/>
              </w:rPr>
            </w:pPr>
            <w:r>
              <w:rPr>
                <w:rFonts w:hint="eastAsia" w:ascii="仿宋" w:hAnsi="仿宋" w:eastAsia="仿宋"/>
                <w:bCs/>
                <w:sz w:val="24"/>
              </w:rPr>
              <w:t>六楼报告厅</w:t>
            </w:r>
          </w:p>
        </w:tc>
        <w:tc>
          <w:tcPr>
            <w:tcW w:w="4070" w:type="dxa"/>
            <w:vAlign w:val="center"/>
          </w:tcPr>
          <w:p>
            <w:pPr>
              <w:jc w:val="center"/>
              <w:rPr>
                <w:rFonts w:ascii="仿宋" w:hAnsi="仿宋" w:eastAsia="仿宋"/>
                <w:bCs/>
                <w:sz w:val="24"/>
              </w:rPr>
            </w:pPr>
            <w:r>
              <w:rPr>
                <w:rFonts w:hint="eastAsia" w:ascii="仿宋" w:hAnsi="仿宋" w:eastAsia="仿宋"/>
                <w:bCs/>
                <w:sz w:val="24"/>
              </w:rPr>
              <w:t>如何申请入党</w:t>
            </w:r>
          </w:p>
        </w:tc>
        <w:tc>
          <w:tcPr>
            <w:tcW w:w="1556" w:type="dxa"/>
            <w:vAlign w:val="center"/>
          </w:tcPr>
          <w:p>
            <w:pPr>
              <w:jc w:val="center"/>
              <w:rPr>
                <w:rFonts w:ascii="仿宋" w:hAnsi="仿宋" w:eastAsia="仿宋"/>
                <w:bCs/>
                <w:sz w:val="24"/>
              </w:rPr>
            </w:pPr>
            <w:r>
              <w:rPr>
                <w:rFonts w:hint="eastAsia" w:ascii="仿宋" w:hAnsi="仿宋" w:eastAsia="仿宋"/>
                <w:bCs/>
                <w:sz w:val="24"/>
              </w:rPr>
              <w:t>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hint="eastAsia" w:ascii="仿宋" w:hAnsi="仿宋" w:eastAsia="仿宋"/>
                <w:bCs/>
                <w:sz w:val="24"/>
              </w:rPr>
              <w:t>14</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2019.10.21</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人民医院</w:t>
            </w:r>
          </w:p>
        </w:tc>
        <w:tc>
          <w:tcPr>
            <w:tcW w:w="4070"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“帮助他人，快乐自己”就医帮帮团</w:t>
            </w:r>
          </w:p>
        </w:tc>
        <w:tc>
          <w:tcPr>
            <w:tcW w:w="1556" w:type="dxa"/>
            <w:vAlign w:val="center"/>
          </w:tcPr>
          <w:p>
            <w:pPr>
              <w:pStyle w:val="5"/>
              <w:snapToGrid w:val="0"/>
              <w:jc w:val="center"/>
              <w:rPr>
                <w:rFonts w:ascii="仿宋" w:hAnsi="仿宋" w:eastAsia="仿宋"/>
                <w:bCs/>
                <w:sz w:val="24"/>
                <w:szCs w:val="24"/>
              </w:rPr>
            </w:pPr>
            <w:r>
              <w:rPr>
                <w:rFonts w:hint="eastAsia" w:ascii="仿宋" w:hAnsi="仿宋" w:eastAsia="仿宋"/>
                <w:bCs/>
                <w:sz w:val="24"/>
              </w:rPr>
              <w:t>志愿者活动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hint="eastAsia" w:ascii="仿宋" w:hAnsi="仿宋" w:eastAsia="仿宋"/>
                <w:bCs/>
                <w:sz w:val="24"/>
              </w:rPr>
              <w:t>15</w:t>
            </w:r>
          </w:p>
        </w:tc>
        <w:tc>
          <w:tcPr>
            <w:tcW w:w="1701" w:type="dxa"/>
            <w:vAlign w:val="center"/>
          </w:tcPr>
          <w:p>
            <w:pPr>
              <w:snapToGrid w:val="0"/>
              <w:spacing w:after="120"/>
              <w:jc w:val="center"/>
              <w:rPr>
                <w:rFonts w:ascii="仿宋" w:hAnsi="仿宋" w:eastAsia="仿宋"/>
                <w:bCs/>
                <w:sz w:val="24"/>
              </w:rPr>
            </w:pPr>
            <w:r>
              <w:rPr>
                <w:rFonts w:hint="eastAsia" w:ascii="仿宋" w:hAnsi="仿宋" w:eastAsia="仿宋"/>
                <w:bCs/>
                <w:sz w:val="24"/>
              </w:rPr>
              <w:t>2019.10.23</w:t>
            </w:r>
          </w:p>
        </w:tc>
        <w:tc>
          <w:tcPr>
            <w:tcW w:w="1701" w:type="dxa"/>
            <w:vAlign w:val="center"/>
          </w:tcPr>
          <w:p>
            <w:pPr>
              <w:snapToGrid w:val="0"/>
              <w:spacing w:after="120"/>
              <w:jc w:val="center"/>
              <w:rPr>
                <w:rFonts w:ascii="仿宋" w:hAnsi="仿宋" w:eastAsia="仿宋"/>
                <w:bCs/>
                <w:sz w:val="24"/>
              </w:rPr>
            </w:pPr>
            <w:r>
              <w:rPr>
                <w:rFonts w:hint="eastAsia" w:ascii="仿宋" w:hAnsi="仿宋" w:eastAsia="仿宋"/>
                <w:bCs/>
                <w:sz w:val="24"/>
              </w:rPr>
              <w:t>六楼报告厅</w:t>
            </w:r>
          </w:p>
        </w:tc>
        <w:tc>
          <w:tcPr>
            <w:tcW w:w="4070" w:type="dxa"/>
            <w:vAlign w:val="center"/>
          </w:tcPr>
          <w:p>
            <w:pPr>
              <w:jc w:val="center"/>
              <w:rPr>
                <w:rFonts w:ascii="仿宋" w:hAnsi="仿宋" w:eastAsia="仿宋"/>
                <w:bCs/>
                <w:sz w:val="24"/>
              </w:rPr>
            </w:pPr>
            <w:r>
              <w:rPr>
                <w:rFonts w:hint="eastAsia" w:ascii="仿宋" w:hAnsi="仿宋" w:eastAsia="仿宋"/>
                <w:bCs/>
                <w:sz w:val="24"/>
              </w:rPr>
              <w:t xml:space="preserve">铸爱国魂·圆天使梦 </w:t>
            </w:r>
          </w:p>
        </w:tc>
        <w:tc>
          <w:tcPr>
            <w:tcW w:w="1556" w:type="dxa"/>
            <w:vAlign w:val="center"/>
          </w:tcPr>
          <w:p>
            <w:pPr>
              <w:jc w:val="center"/>
              <w:rPr>
                <w:rFonts w:ascii="仿宋" w:hAnsi="仿宋" w:eastAsia="仿宋"/>
                <w:bCs/>
                <w:sz w:val="24"/>
              </w:rPr>
            </w:pPr>
            <w:r>
              <w:rPr>
                <w:rFonts w:hint="eastAsia" w:ascii="仿宋" w:hAnsi="仿宋" w:eastAsia="仿宋"/>
                <w:bCs/>
                <w:sz w:val="24"/>
              </w:rPr>
              <w:t>天使讲堂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ascii="仿宋" w:hAnsi="仿宋" w:eastAsia="仿宋"/>
                <w:bCs/>
                <w:sz w:val="24"/>
              </w:rPr>
              <w:t>1</w:t>
            </w:r>
            <w:r>
              <w:rPr>
                <w:rFonts w:hint="eastAsia" w:ascii="仿宋" w:hAnsi="仿宋" w:eastAsia="仿宋"/>
                <w:bCs/>
                <w:sz w:val="24"/>
              </w:rPr>
              <w:t>6</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rPr>
              <w:t>2019.11.13</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rPr>
              <w:t>六楼报告厅</w:t>
            </w:r>
          </w:p>
        </w:tc>
        <w:tc>
          <w:tcPr>
            <w:tcW w:w="4070"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明确使命 砥砺前行</w:t>
            </w:r>
          </w:p>
        </w:tc>
        <w:tc>
          <w:tcPr>
            <w:tcW w:w="1556" w:type="dxa"/>
            <w:vAlign w:val="center"/>
          </w:tcPr>
          <w:p>
            <w:pPr>
              <w:pStyle w:val="5"/>
              <w:snapToGrid w:val="0"/>
              <w:jc w:val="center"/>
              <w:rPr>
                <w:rFonts w:ascii="仿宋" w:hAnsi="仿宋" w:eastAsia="仿宋"/>
                <w:bCs/>
                <w:color w:val="FF0000"/>
                <w:sz w:val="24"/>
              </w:rPr>
            </w:pPr>
            <w:r>
              <w:rPr>
                <w:rFonts w:hint="eastAsia" w:ascii="仿宋" w:hAnsi="仿宋" w:eastAsia="仿宋"/>
                <w:bCs/>
                <w:sz w:val="24"/>
              </w:rPr>
              <w:t>团课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hint="eastAsia" w:ascii="仿宋" w:hAnsi="仿宋" w:eastAsia="仿宋"/>
                <w:bCs/>
                <w:sz w:val="24"/>
              </w:rPr>
              <w:t>17</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2019.11.16</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爱琴海</w:t>
            </w:r>
          </w:p>
        </w:tc>
        <w:tc>
          <w:tcPr>
            <w:tcW w:w="4070"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举重比赛志愿者</w:t>
            </w:r>
          </w:p>
        </w:tc>
        <w:tc>
          <w:tcPr>
            <w:tcW w:w="1556" w:type="dxa"/>
            <w:vAlign w:val="center"/>
          </w:tcPr>
          <w:p>
            <w:pPr>
              <w:jc w:val="center"/>
              <w:rPr>
                <w:rFonts w:ascii="仿宋" w:hAnsi="仿宋" w:eastAsia="仿宋"/>
                <w:bCs/>
                <w:sz w:val="24"/>
              </w:rPr>
            </w:pPr>
            <w:r>
              <w:rPr>
                <w:rFonts w:hint="eastAsia" w:ascii="仿宋" w:hAnsi="仿宋" w:eastAsia="仿宋"/>
                <w:bCs/>
                <w:sz w:val="24"/>
              </w:rPr>
              <w:t>志愿者</w:t>
            </w:r>
            <w:r>
              <w:rPr>
                <w:rFonts w:ascii="仿宋" w:hAnsi="仿宋" w:eastAsia="仿宋"/>
                <w:bCs/>
                <w:sz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hint="eastAsia" w:ascii="仿宋" w:hAnsi="仿宋" w:eastAsia="仿宋"/>
                <w:bCs/>
                <w:sz w:val="24"/>
              </w:rPr>
              <w:t>18</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w:t>
            </w:r>
            <w:r>
              <w:rPr>
                <w:rFonts w:ascii="仿宋" w:hAnsi="仿宋" w:eastAsia="仿宋"/>
                <w:bCs/>
                <w:sz w:val="24"/>
                <w:szCs w:val="24"/>
              </w:rPr>
              <w:t>019.11.17</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rPr>
              <w:t>海洲街道</w:t>
            </w:r>
            <w:r>
              <w:rPr>
                <w:rFonts w:ascii="仿宋" w:hAnsi="仿宋" w:eastAsia="仿宋"/>
                <w:bCs/>
                <w:sz w:val="24"/>
              </w:rPr>
              <w:t>敬老院</w:t>
            </w:r>
          </w:p>
        </w:tc>
        <w:tc>
          <w:tcPr>
            <w:tcW w:w="4070"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幸福之行，关爱老人</w:t>
            </w:r>
          </w:p>
        </w:tc>
        <w:tc>
          <w:tcPr>
            <w:tcW w:w="1556" w:type="dxa"/>
            <w:vAlign w:val="center"/>
          </w:tcPr>
          <w:p>
            <w:pPr>
              <w:jc w:val="center"/>
              <w:rPr>
                <w:rFonts w:ascii="仿宋" w:hAnsi="仿宋" w:eastAsia="仿宋"/>
                <w:bCs/>
                <w:sz w:val="24"/>
              </w:rPr>
            </w:pPr>
            <w:r>
              <w:rPr>
                <w:rFonts w:hint="eastAsia" w:ascii="仿宋" w:hAnsi="仿宋" w:eastAsia="仿宋"/>
                <w:bCs/>
                <w:sz w:val="24"/>
              </w:rPr>
              <w:t>敬老院志愿者活动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ascii="仿宋" w:hAnsi="仿宋" w:eastAsia="仿宋"/>
                <w:bCs/>
                <w:sz w:val="24"/>
              </w:rPr>
              <w:t>1</w:t>
            </w:r>
            <w:r>
              <w:rPr>
                <w:rFonts w:hint="eastAsia" w:ascii="仿宋" w:hAnsi="仿宋" w:eastAsia="仿宋"/>
                <w:bCs/>
                <w:sz w:val="24"/>
              </w:rPr>
              <w:t>9</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2019.11.20</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六楼报告厅</w:t>
            </w:r>
          </w:p>
        </w:tc>
        <w:tc>
          <w:tcPr>
            <w:tcW w:w="4070"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身正为范</w:t>
            </w:r>
          </w:p>
        </w:tc>
        <w:tc>
          <w:tcPr>
            <w:tcW w:w="1556" w:type="dxa"/>
            <w:vAlign w:val="center"/>
          </w:tcPr>
          <w:p>
            <w:pPr>
              <w:jc w:val="center"/>
              <w:rPr>
                <w:rFonts w:ascii="仿宋" w:hAnsi="仿宋" w:eastAsia="仿宋"/>
                <w:bCs/>
                <w:sz w:val="24"/>
              </w:rPr>
            </w:pPr>
            <w:r>
              <w:rPr>
                <w:rFonts w:hint="eastAsia" w:ascii="仿宋" w:hAnsi="仿宋" w:eastAsia="仿宋"/>
                <w:bCs/>
                <w:sz w:val="24"/>
              </w:rPr>
              <w:t>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snapToGrid w:val="0"/>
              <w:spacing w:after="120"/>
              <w:jc w:val="center"/>
              <w:rPr>
                <w:rFonts w:ascii="仿宋" w:hAnsi="仿宋" w:eastAsia="仿宋"/>
                <w:bCs/>
                <w:sz w:val="24"/>
              </w:rPr>
            </w:pPr>
            <w:r>
              <w:rPr>
                <w:rFonts w:hint="eastAsia" w:ascii="仿宋" w:hAnsi="仿宋" w:eastAsia="仿宋"/>
                <w:bCs/>
                <w:sz w:val="24"/>
              </w:rPr>
              <w:t>20</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2019.11.22</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rPr>
              <w:t>六楼报告厅</w:t>
            </w:r>
          </w:p>
        </w:tc>
        <w:tc>
          <w:tcPr>
            <w:tcW w:w="4070" w:type="dxa"/>
            <w:vAlign w:val="center"/>
          </w:tcPr>
          <w:p>
            <w:pPr>
              <w:pStyle w:val="5"/>
              <w:snapToGrid w:val="0"/>
              <w:jc w:val="center"/>
              <w:rPr>
                <w:rFonts w:ascii="仿宋" w:hAnsi="仿宋" w:eastAsia="仿宋"/>
                <w:bCs/>
                <w:sz w:val="24"/>
                <w:szCs w:val="24"/>
              </w:rPr>
            </w:pPr>
            <w:r>
              <w:rPr>
                <w:rFonts w:hint="eastAsia" w:ascii="仿宋" w:hAnsi="仿宋" w:eastAsia="仿宋"/>
                <w:bCs/>
                <w:sz w:val="24"/>
              </w:rPr>
              <w:t>培养合理消费观远离消费陷阱</w:t>
            </w:r>
          </w:p>
        </w:tc>
        <w:tc>
          <w:tcPr>
            <w:tcW w:w="1556" w:type="dxa"/>
            <w:vAlign w:val="center"/>
          </w:tcPr>
          <w:p>
            <w:pPr>
              <w:jc w:val="center"/>
              <w:rPr>
                <w:rFonts w:ascii="仿宋" w:hAnsi="仿宋" w:eastAsia="仿宋"/>
                <w:bCs/>
                <w:sz w:val="24"/>
              </w:rPr>
            </w:pPr>
            <w:r>
              <w:rPr>
                <w:rFonts w:hint="eastAsia" w:ascii="仿宋" w:hAnsi="仿宋" w:eastAsia="仿宋"/>
                <w:bCs/>
                <w:sz w:val="24"/>
              </w:rPr>
              <w:t>天使讲堂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pStyle w:val="5"/>
              <w:snapToGrid w:val="0"/>
              <w:jc w:val="center"/>
              <w:rPr>
                <w:rFonts w:ascii="仿宋" w:hAnsi="仿宋" w:eastAsia="仿宋"/>
                <w:bCs/>
                <w:sz w:val="24"/>
              </w:rPr>
            </w:pPr>
            <w:r>
              <w:rPr>
                <w:rFonts w:hint="eastAsia" w:ascii="仿宋" w:hAnsi="仿宋" w:eastAsia="仿宋"/>
                <w:bCs/>
                <w:sz w:val="24"/>
                <w:szCs w:val="24"/>
              </w:rPr>
              <w:t>21</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2019.12.7</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海宁卫校</w:t>
            </w:r>
          </w:p>
        </w:tc>
        <w:tc>
          <w:tcPr>
            <w:tcW w:w="4070"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“奋斗成就梦想，青春自有担当”12.9成人仪式</w:t>
            </w:r>
          </w:p>
        </w:tc>
        <w:tc>
          <w:tcPr>
            <w:tcW w:w="1556" w:type="dxa"/>
            <w:vAlign w:val="center"/>
          </w:tcPr>
          <w:p>
            <w:pPr>
              <w:jc w:val="center"/>
              <w:rPr>
                <w:rFonts w:ascii="仿宋" w:hAnsi="仿宋" w:eastAsia="仿宋"/>
                <w:bCs/>
                <w:sz w:val="24"/>
              </w:rPr>
            </w:pPr>
            <w:r>
              <w:rPr>
                <w:rFonts w:hint="eastAsia" w:ascii="仿宋" w:hAnsi="仿宋" w:eastAsia="仿宋"/>
                <w:bCs/>
                <w:sz w:val="24"/>
              </w:rPr>
              <w:t>志愿者</w:t>
            </w:r>
            <w:r>
              <w:rPr>
                <w:rFonts w:ascii="仿宋" w:hAnsi="仿宋" w:eastAsia="仿宋"/>
                <w:bCs/>
                <w:sz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pStyle w:val="5"/>
              <w:snapToGrid w:val="0"/>
              <w:jc w:val="center"/>
              <w:rPr>
                <w:rFonts w:ascii="仿宋" w:hAnsi="仿宋" w:eastAsia="仿宋"/>
                <w:bCs/>
                <w:sz w:val="24"/>
              </w:rPr>
            </w:pPr>
            <w:r>
              <w:rPr>
                <w:rFonts w:hint="eastAsia" w:ascii="仿宋" w:hAnsi="仿宋" w:eastAsia="仿宋"/>
                <w:bCs/>
                <w:sz w:val="24"/>
                <w:szCs w:val="24"/>
              </w:rPr>
              <w:t>22</w:t>
            </w:r>
          </w:p>
        </w:tc>
        <w:tc>
          <w:tcPr>
            <w:tcW w:w="1701" w:type="dxa"/>
            <w:vAlign w:val="center"/>
          </w:tcPr>
          <w:p>
            <w:pPr>
              <w:pStyle w:val="5"/>
              <w:snapToGrid w:val="0"/>
              <w:jc w:val="center"/>
              <w:rPr>
                <w:rFonts w:ascii="仿宋" w:hAnsi="仿宋" w:eastAsia="仿宋"/>
                <w:bCs/>
                <w:sz w:val="24"/>
              </w:rPr>
            </w:pPr>
            <w:r>
              <w:rPr>
                <w:rFonts w:hint="eastAsia" w:ascii="仿宋" w:hAnsi="仿宋" w:eastAsia="仿宋"/>
                <w:bCs/>
                <w:sz w:val="24"/>
              </w:rPr>
              <w:t>2019.12.7</w:t>
            </w:r>
          </w:p>
        </w:tc>
        <w:tc>
          <w:tcPr>
            <w:tcW w:w="1701" w:type="dxa"/>
            <w:vAlign w:val="center"/>
          </w:tcPr>
          <w:p>
            <w:pPr>
              <w:pStyle w:val="5"/>
              <w:snapToGrid w:val="0"/>
              <w:jc w:val="center"/>
              <w:rPr>
                <w:rFonts w:ascii="仿宋" w:hAnsi="仿宋" w:eastAsia="仿宋"/>
                <w:bCs/>
                <w:sz w:val="24"/>
              </w:rPr>
            </w:pPr>
            <w:r>
              <w:rPr>
                <w:rFonts w:hint="eastAsia" w:ascii="仿宋" w:hAnsi="仿宋" w:eastAsia="仿宋"/>
                <w:bCs/>
                <w:sz w:val="24"/>
              </w:rPr>
              <w:t>阶梯教室1</w:t>
            </w:r>
          </w:p>
        </w:tc>
        <w:tc>
          <w:tcPr>
            <w:tcW w:w="4070" w:type="dxa"/>
            <w:vAlign w:val="center"/>
          </w:tcPr>
          <w:p>
            <w:pPr>
              <w:pStyle w:val="5"/>
              <w:snapToGrid w:val="0"/>
              <w:jc w:val="center"/>
              <w:rPr>
                <w:rFonts w:ascii="仿宋" w:hAnsi="仿宋" w:eastAsia="仿宋"/>
                <w:bCs/>
                <w:sz w:val="24"/>
              </w:rPr>
            </w:pPr>
            <w:r>
              <w:rPr>
                <w:rFonts w:hint="eastAsia" w:ascii="仿宋" w:hAnsi="仿宋" w:eastAsia="仿宋"/>
                <w:bCs/>
                <w:sz w:val="24"/>
                <w:szCs w:val="24"/>
              </w:rPr>
              <w:t>“奋斗成就梦想，青春自有担当”12.9成人仪式</w:t>
            </w:r>
          </w:p>
        </w:tc>
        <w:tc>
          <w:tcPr>
            <w:tcW w:w="1556" w:type="dxa"/>
            <w:vAlign w:val="center"/>
          </w:tcPr>
          <w:p>
            <w:pPr>
              <w:pStyle w:val="5"/>
              <w:snapToGrid w:val="0"/>
              <w:jc w:val="center"/>
              <w:rPr>
                <w:rFonts w:ascii="仿宋" w:hAnsi="仿宋" w:eastAsia="仿宋"/>
                <w:bCs/>
                <w:color w:val="FF0000"/>
                <w:sz w:val="24"/>
              </w:rPr>
            </w:pPr>
            <w:r>
              <w:rPr>
                <w:rFonts w:hint="eastAsia" w:ascii="仿宋" w:hAnsi="仿宋" w:eastAsia="仿宋"/>
                <w:bCs/>
                <w:sz w:val="24"/>
              </w:rPr>
              <w:t>12.9成人礼活动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pStyle w:val="5"/>
              <w:snapToGrid w:val="0"/>
              <w:jc w:val="center"/>
              <w:rPr>
                <w:rFonts w:ascii="仿宋" w:hAnsi="仿宋" w:eastAsia="仿宋"/>
                <w:bCs/>
                <w:sz w:val="24"/>
              </w:rPr>
            </w:pPr>
            <w:r>
              <w:rPr>
                <w:rFonts w:hint="eastAsia" w:ascii="仿宋" w:hAnsi="仿宋" w:eastAsia="仿宋"/>
                <w:bCs/>
                <w:sz w:val="24"/>
              </w:rPr>
              <w:t>23</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rPr>
              <w:t>2019.12.21</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rPr>
              <w:t>六楼报告厅</w:t>
            </w:r>
          </w:p>
        </w:tc>
        <w:tc>
          <w:tcPr>
            <w:tcW w:w="4070" w:type="dxa"/>
            <w:vAlign w:val="center"/>
          </w:tcPr>
          <w:p>
            <w:pPr>
              <w:pStyle w:val="5"/>
              <w:snapToGrid w:val="0"/>
              <w:jc w:val="center"/>
              <w:rPr>
                <w:rFonts w:ascii="仿宋" w:hAnsi="仿宋" w:eastAsia="仿宋"/>
                <w:bCs/>
                <w:sz w:val="24"/>
                <w:szCs w:val="24"/>
              </w:rPr>
            </w:pPr>
            <w:r>
              <w:rPr>
                <w:rFonts w:hint="eastAsia" w:ascii="仿宋" w:hAnsi="仿宋" w:eastAsia="仿宋"/>
                <w:bCs/>
                <w:color w:val="000000" w:themeColor="text1"/>
                <w:sz w:val="24"/>
                <w14:textFill>
                  <w14:solidFill>
                    <w14:schemeClr w14:val="tx1"/>
                  </w14:solidFill>
                </w14:textFill>
              </w:rPr>
              <w:t>“宪法伴我身，守纪伴我心”</w:t>
            </w:r>
          </w:p>
        </w:tc>
        <w:tc>
          <w:tcPr>
            <w:tcW w:w="1556" w:type="dxa"/>
            <w:vAlign w:val="center"/>
          </w:tcPr>
          <w:p>
            <w:pPr>
              <w:pStyle w:val="5"/>
              <w:snapToGrid w:val="0"/>
              <w:jc w:val="center"/>
              <w:rPr>
                <w:rFonts w:ascii="仿宋" w:hAnsi="仿宋" w:eastAsia="仿宋"/>
                <w:bCs/>
                <w:sz w:val="24"/>
              </w:rPr>
            </w:pPr>
            <w:r>
              <w:rPr>
                <w:rFonts w:hint="eastAsia" w:ascii="仿宋" w:hAnsi="仿宋" w:eastAsia="仿宋"/>
                <w:bCs/>
                <w:sz w:val="24"/>
              </w:rPr>
              <w:t>天使讲堂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24</w:t>
            </w:r>
          </w:p>
        </w:tc>
        <w:tc>
          <w:tcPr>
            <w:tcW w:w="1701" w:type="dxa"/>
            <w:vAlign w:val="center"/>
          </w:tcPr>
          <w:p>
            <w:pPr>
              <w:pStyle w:val="5"/>
              <w:snapToGrid w:val="0"/>
              <w:jc w:val="center"/>
              <w:rPr>
                <w:rFonts w:ascii="仿宋" w:hAnsi="仿宋" w:eastAsia="仿宋"/>
                <w:bCs/>
                <w:sz w:val="24"/>
              </w:rPr>
            </w:pPr>
            <w:r>
              <w:rPr>
                <w:rFonts w:hint="eastAsia" w:ascii="仿宋" w:hAnsi="仿宋" w:eastAsia="仿宋"/>
                <w:bCs/>
                <w:sz w:val="24"/>
              </w:rPr>
              <w:t>2</w:t>
            </w:r>
            <w:r>
              <w:rPr>
                <w:rFonts w:ascii="仿宋" w:hAnsi="仿宋" w:eastAsia="仿宋"/>
                <w:bCs/>
                <w:sz w:val="24"/>
              </w:rPr>
              <w:t>019.12.14</w:t>
            </w:r>
          </w:p>
        </w:tc>
        <w:tc>
          <w:tcPr>
            <w:tcW w:w="1701" w:type="dxa"/>
            <w:vAlign w:val="center"/>
          </w:tcPr>
          <w:p>
            <w:pPr>
              <w:pStyle w:val="5"/>
              <w:snapToGrid w:val="0"/>
              <w:jc w:val="center"/>
              <w:rPr>
                <w:rFonts w:ascii="仿宋" w:hAnsi="仿宋" w:eastAsia="仿宋"/>
                <w:bCs/>
                <w:sz w:val="24"/>
              </w:rPr>
            </w:pPr>
            <w:r>
              <w:rPr>
                <w:rFonts w:hint="eastAsia" w:ascii="仿宋" w:hAnsi="仿宋" w:eastAsia="仿宋"/>
                <w:bCs/>
                <w:sz w:val="24"/>
              </w:rPr>
              <w:t>海洲街道</w:t>
            </w:r>
            <w:r>
              <w:rPr>
                <w:rFonts w:ascii="仿宋" w:hAnsi="仿宋" w:eastAsia="仿宋"/>
                <w:bCs/>
                <w:sz w:val="24"/>
              </w:rPr>
              <w:t>敬老院</w:t>
            </w:r>
          </w:p>
        </w:tc>
        <w:tc>
          <w:tcPr>
            <w:tcW w:w="4070" w:type="dxa"/>
            <w:vAlign w:val="center"/>
          </w:tcPr>
          <w:p>
            <w:pPr>
              <w:pStyle w:val="5"/>
              <w:snapToGrid w:val="0"/>
              <w:jc w:val="center"/>
              <w:rPr>
                <w:rFonts w:ascii="仿宋" w:hAnsi="仿宋" w:eastAsia="仿宋"/>
                <w:bCs/>
                <w:sz w:val="24"/>
              </w:rPr>
            </w:pPr>
            <w:r>
              <w:rPr>
                <w:rFonts w:hint="eastAsia" w:ascii="仿宋" w:hAnsi="仿宋" w:eastAsia="仿宋"/>
                <w:bCs/>
                <w:sz w:val="24"/>
              </w:rPr>
              <w:t>青春</w:t>
            </w:r>
            <w:r>
              <w:rPr>
                <w:rFonts w:ascii="仿宋" w:hAnsi="仿宋" w:eastAsia="仿宋"/>
                <w:bCs/>
                <w:sz w:val="24"/>
              </w:rPr>
              <w:t>心向党，筑梦新时代</w:t>
            </w:r>
          </w:p>
        </w:tc>
        <w:tc>
          <w:tcPr>
            <w:tcW w:w="1556" w:type="dxa"/>
            <w:vAlign w:val="center"/>
          </w:tcPr>
          <w:p>
            <w:pPr>
              <w:pStyle w:val="5"/>
              <w:snapToGrid w:val="0"/>
              <w:jc w:val="center"/>
              <w:rPr>
                <w:rFonts w:ascii="仿宋" w:hAnsi="仿宋" w:eastAsia="仿宋"/>
                <w:bCs/>
                <w:color w:val="FF0000"/>
                <w:sz w:val="24"/>
              </w:rPr>
            </w:pPr>
            <w:r>
              <w:rPr>
                <w:rFonts w:hint="eastAsia" w:ascii="仿宋" w:hAnsi="仿宋" w:eastAsia="仿宋"/>
                <w:bCs/>
                <w:sz w:val="24"/>
              </w:rPr>
              <w:t>敬老院志愿者活动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pStyle w:val="5"/>
              <w:snapToGrid w:val="0"/>
              <w:rPr>
                <w:rFonts w:ascii="仿宋" w:hAnsi="仿宋" w:eastAsia="仿宋"/>
                <w:bCs/>
                <w:sz w:val="24"/>
                <w:szCs w:val="24"/>
              </w:rPr>
            </w:pPr>
            <w:r>
              <w:rPr>
                <w:rFonts w:hint="eastAsia" w:ascii="仿宋" w:hAnsi="仿宋" w:eastAsia="仿宋"/>
                <w:bCs/>
                <w:sz w:val="24"/>
                <w:szCs w:val="24"/>
              </w:rPr>
              <w:t>2</w:t>
            </w:r>
            <w:r>
              <w:rPr>
                <w:rFonts w:ascii="仿宋" w:hAnsi="仿宋" w:eastAsia="仿宋"/>
                <w:bCs/>
                <w:sz w:val="24"/>
                <w:szCs w:val="24"/>
              </w:rPr>
              <w:t>5</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2019.12.18</w:t>
            </w:r>
          </w:p>
        </w:tc>
        <w:tc>
          <w:tcPr>
            <w:tcW w:w="1701"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六楼报告厅</w:t>
            </w:r>
          </w:p>
        </w:tc>
        <w:tc>
          <w:tcPr>
            <w:tcW w:w="4070"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做德智体美劳全面发展的专业性人才</w:t>
            </w:r>
          </w:p>
        </w:tc>
        <w:tc>
          <w:tcPr>
            <w:tcW w:w="1556" w:type="dxa"/>
            <w:vAlign w:val="center"/>
          </w:tcPr>
          <w:p>
            <w:pPr>
              <w:pStyle w:val="5"/>
              <w:snapToGrid w:val="0"/>
              <w:jc w:val="center"/>
              <w:rPr>
                <w:rFonts w:ascii="仿宋" w:hAnsi="仿宋" w:eastAsia="仿宋"/>
                <w:bCs/>
                <w:color w:val="FF0000"/>
                <w:sz w:val="24"/>
              </w:rPr>
            </w:pPr>
            <w:r>
              <w:rPr>
                <w:rFonts w:hint="eastAsia" w:ascii="仿宋" w:hAnsi="仿宋" w:eastAsia="仿宋"/>
                <w:bCs/>
                <w:sz w:val="24"/>
              </w:rPr>
              <w:t>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1" w:type="dxa"/>
            <w:vAlign w:val="center"/>
          </w:tcPr>
          <w:p>
            <w:pPr>
              <w:pStyle w:val="5"/>
              <w:snapToGrid w:val="0"/>
              <w:rPr>
                <w:rFonts w:ascii="仿宋" w:hAnsi="仿宋" w:eastAsia="仿宋"/>
                <w:bCs/>
                <w:sz w:val="24"/>
                <w:szCs w:val="24"/>
              </w:rPr>
            </w:pPr>
          </w:p>
        </w:tc>
        <w:tc>
          <w:tcPr>
            <w:tcW w:w="1701" w:type="dxa"/>
            <w:vAlign w:val="center"/>
          </w:tcPr>
          <w:p>
            <w:pPr>
              <w:pStyle w:val="5"/>
              <w:snapToGrid w:val="0"/>
              <w:jc w:val="center"/>
              <w:rPr>
                <w:rFonts w:ascii="仿宋" w:hAnsi="仿宋" w:eastAsia="仿宋"/>
                <w:bCs/>
                <w:sz w:val="24"/>
              </w:rPr>
            </w:pPr>
            <w:r>
              <w:rPr>
                <w:rFonts w:hint="eastAsia" w:ascii="仿宋" w:hAnsi="仿宋" w:eastAsia="仿宋"/>
                <w:bCs/>
                <w:sz w:val="24"/>
              </w:rPr>
              <w:t>2019.12.29</w:t>
            </w:r>
          </w:p>
        </w:tc>
        <w:tc>
          <w:tcPr>
            <w:tcW w:w="1701" w:type="dxa"/>
            <w:vAlign w:val="center"/>
          </w:tcPr>
          <w:p>
            <w:pPr>
              <w:pStyle w:val="5"/>
              <w:snapToGrid w:val="0"/>
              <w:jc w:val="center"/>
              <w:rPr>
                <w:rFonts w:ascii="仿宋" w:hAnsi="仿宋" w:eastAsia="仿宋"/>
                <w:bCs/>
                <w:sz w:val="24"/>
              </w:rPr>
            </w:pPr>
            <w:r>
              <w:rPr>
                <w:rFonts w:hint="eastAsia" w:ascii="仿宋" w:hAnsi="仿宋" w:eastAsia="仿宋"/>
                <w:bCs/>
                <w:sz w:val="24"/>
                <w:szCs w:val="24"/>
              </w:rPr>
              <w:t>海宁卫校</w:t>
            </w:r>
          </w:p>
        </w:tc>
        <w:tc>
          <w:tcPr>
            <w:tcW w:w="4070" w:type="dxa"/>
            <w:vAlign w:val="center"/>
          </w:tcPr>
          <w:p>
            <w:pPr>
              <w:pStyle w:val="5"/>
              <w:snapToGrid w:val="0"/>
              <w:jc w:val="center"/>
              <w:rPr>
                <w:rFonts w:ascii="仿宋" w:hAnsi="仿宋" w:eastAsia="仿宋"/>
                <w:bCs/>
                <w:sz w:val="24"/>
                <w:szCs w:val="24"/>
              </w:rPr>
            </w:pPr>
            <w:r>
              <w:rPr>
                <w:rFonts w:hint="eastAsia" w:ascii="仿宋" w:hAnsi="仿宋" w:eastAsia="仿宋"/>
                <w:bCs/>
                <w:sz w:val="24"/>
                <w:szCs w:val="24"/>
              </w:rPr>
              <w:t>“新时代、新传承、新梦想”</w:t>
            </w:r>
          </w:p>
        </w:tc>
        <w:tc>
          <w:tcPr>
            <w:tcW w:w="1556" w:type="dxa"/>
            <w:vAlign w:val="center"/>
          </w:tcPr>
          <w:p>
            <w:pPr>
              <w:pStyle w:val="5"/>
              <w:snapToGrid w:val="0"/>
              <w:jc w:val="center"/>
              <w:rPr>
                <w:rFonts w:ascii="仿宋" w:hAnsi="仿宋" w:eastAsia="仿宋"/>
                <w:bCs/>
                <w:color w:val="FF0000"/>
                <w:sz w:val="24"/>
              </w:rPr>
            </w:pPr>
            <w:r>
              <w:rPr>
                <w:rFonts w:hint="eastAsia" w:ascii="仿宋" w:hAnsi="仿宋" w:eastAsia="仿宋"/>
                <w:bCs/>
                <w:color w:val="000000" w:themeColor="text1"/>
                <w:sz w:val="24"/>
                <w14:textFill>
                  <w14:solidFill>
                    <w14:schemeClr w14:val="tx1"/>
                  </w14:solidFill>
                </w14:textFill>
              </w:rPr>
              <w:t>元旦迎新</w:t>
            </w:r>
          </w:p>
        </w:tc>
      </w:tr>
    </w:tbl>
    <w:p/>
    <w:p>
      <w:pPr>
        <w:spacing w:line="440" w:lineRule="exact"/>
        <w:ind w:firstLine="480" w:firstLineChars="200"/>
        <w:rPr>
          <w:rFonts w:ascii="宋体" w:hAnsi="宋体"/>
          <w:bCs/>
          <w:sz w:val="24"/>
        </w:rPr>
      </w:pPr>
      <w:r>
        <w:rPr>
          <w:rFonts w:hint="eastAsia" w:cs="Arial" w:asciiTheme="minorEastAsia" w:hAnsiTheme="minorEastAsia" w:eastAsiaTheme="minorEastAsia"/>
          <w:kern w:val="0"/>
          <w:sz w:val="24"/>
        </w:rPr>
        <w:t>学校学生会依据《学生会工作条例》为基础，规范组织建设，2019年10月进行了19级学生干部增补。经过班级推荐，班主任审核，学生会试用等层层考核，最终增补了</w:t>
      </w:r>
      <w:r>
        <w:rPr>
          <w:rFonts w:cs="Arial" w:asciiTheme="minorEastAsia" w:hAnsiTheme="minorEastAsia" w:eastAsiaTheme="minorEastAsia"/>
          <w:kern w:val="0"/>
          <w:sz w:val="24"/>
        </w:rPr>
        <w:t>50</w:t>
      </w:r>
      <w:r>
        <w:rPr>
          <w:rFonts w:hint="eastAsia" w:cs="Arial" w:asciiTheme="minorEastAsia" w:hAnsiTheme="minorEastAsia" w:eastAsiaTheme="minorEastAsia"/>
          <w:kern w:val="0"/>
          <w:sz w:val="24"/>
        </w:rPr>
        <w:t xml:space="preserve">位同学加入学生会组织。在日常学校管理工作中，积极配合学校各部门开展工作，发挥学生会在学校学生自主管理中的桥梁作用。以学生会干部为主体的学生自主管理队伍，在保障学校教育教学顺利和安全运行中充分发挥了自我监督、自我管理作用，既锻炼了管理意识，又提升了工作能力，取得了良好的管理成效。 </w:t>
      </w:r>
      <w:r>
        <w:rPr>
          <w:rFonts w:ascii="宋体" w:hAnsi="宋体"/>
          <w:bCs/>
          <w:sz w:val="24"/>
        </w:rPr>
        <w:t xml:space="preserve"> </w:t>
      </w:r>
    </w:p>
    <w:p>
      <w:pPr>
        <w:spacing w:line="360" w:lineRule="auto"/>
        <w:ind w:firstLine="241" w:firstLineChars="100"/>
        <w:rPr>
          <w:rFonts w:ascii="Times New Roman" w:hAnsi="Times New Roman"/>
          <w:b/>
          <w:bCs/>
          <w:sz w:val="24"/>
        </w:rPr>
      </w:pPr>
      <w:r>
        <w:rPr>
          <w:rFonts w:hint="eastAsia" w:ascii="宋体" w:hAnsi="宋体" w:cs="宋体"/>
          <w:b/>
          <w:kern w:val="0"/>
          <w:sz w:val="24"/>
        </w:rPr>
        <w:t>表11：201</w:t>
      </w:r>
      <w:r>
        <w:rPr>
          <w:rFonts w:ascii="宋体" w:hAnsi="宋体" w:cs="宋体"/>
          <w:b/>
          <w:kern w:val="0"/>
          <w:sz w:val="24"/>
        </w:rPr>
        <w:t>9</w:t>
      </w:r>
      <w:r>
        <w:rPr>
          <w:rFonts w:hint="eastAsia" w:cs="宋体" w:asciiTheme="minorEastAsia" w:hAnsiTheme="minorEastAsia" w:eastAsiaTheme="minorEastAsia"/>
          <w:b/>
          <w:kern w:val="0"/>
          <w:sz w:val="24"/>
        </w:rPr>
        <w:t>年度学校</w:t>
      </w:r>
      <w:r>
        <w:rPr>
          <w:rFonts w:hint="eastAsia" w:ascii="Times New Roman" w:hAnsi="Times New Roman"/>
          <w:b/>
          <w:bCs/>
          <w:sz w:val="24"/>
        </w:rPr>
        <w:t>学生会</w:t>
      </w:r>
      <w:r>
        <w:rPr>
          <w:rFonts w:hint="eastAsia" w:ascii="Times New Roman" w:hAnsi="Times New Roman" w:cs="宋体"/>
          <w:b/>
          <w:bCs/>
          <w:sz w:val="24"/>
        </w:rPr>
        <w:t>主要活动情况一览表</w:t>
      </w:r>
    </w:p>
    <w:tbl>
      <w:tblPr>
        <w:tblStyle w:val="14"/>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42"/>
        <w:gridCol w:w="3402"/>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8"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类别</w:t>
            </w:r>
          </w:p>
        </w:tc>
        <w:tc>
          <w:tcPr>
            <w:tcW w:w="184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时间</w:t>
            </w:r>
          </w:p>
        </w:tc>
        <w:tc>
          <w:tcPr>
            <w:tcW w:w="340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活动内容</w:t>
            </w:r>
          </w:p>
        </w:tc>
        <w:tc>
          <w:tcPr>
            <w:tcW w:w="2694"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8" w:type="dxa"/>
            <w:vMerge w:val="restart"/>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常规管理</w:t>
            </w:r>
          </w:p>
        </w:tc>
        <w:tc>
          <w:tcPr>
            <w:tcW w:w="1842" w:type="dxa"/>
            <w:vMerge w:val="restart"/>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每日</w:t>
            </w:r>
          </w:p>
        </w:tc>
        <w:tc>
          <w:tcPr>
            <w:tcW w:w="340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校园卫生检查</w:t>
            </w:r>
          </w:p>
        </w:tc>
        <w:tc>
          <w:tcPr>
            <w:tcW w:w="2694"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卫生部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8" w:type="dxa"/>
            <w:vMerge w:val="continue"/>
            <w:shd w:val="clear" w:color="auto" w:fill="auto"/>
            <w:vAlign w:val="center"/>
          </w:tcPr>
          <w:p>
            <w:pPr>
              <w:spacing w:line="240" w:lineRule="exact"/>
              <w:jc w:val="center"/>
              <w:rPr>
                <w:rFonts w:ascii="仿宋" w:hAnsi="仿宋" w:eastAsia="仿宋" w:cs="宋体"/>
                <w:sz w:val="24"/>
              </w:rPr>
            </w:pPr>
          </w:p>
        </w:tc>
        <w:tc>
          <w:tcPr>
            <w:tcW w:w="1842" w:type="dxa"/>
            <w:vMerge w:val="continue"/>
            <w:shd w:val="clear" w:color="auto" w:fill="auto"/>
            <w:vAlign w:val="center"/>
          </w:tcPr>
          <w:p>
            <w:pPr>
              <w:spacing w:line="240" w:lineRule="exact"/>
              <w:jc w:val="center"/>
              <w:rPr>
                <w:rFonts w:ascii="仿宋" w:hAnsi="仿宋" w:eastAsia="仿宋" w:cs="宋体"/>
                <w:sz w:val="24"/>
              </w:rPr>
            </w:pPr>
          </w:p>
        </w:tc>
        <w:tc>
          <w:tcPr>
            <w:tcW w:w="340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校园纪律检查</w:t>
            </w:r>
          </w:p>
        </w:tc>
        <w:tc>
          <w:tcPr>
            <w:tcW w:w="2694"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纪检部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8" w:type="dxa"/>
            <w:vMerge w:val="continue"/>
            <w:shd w:val="clear" w:color="auto" w:fill="auto"/>
            <w:vAlign w:val="center"/>
          </w:tcPr>
          <w:p>
            <w:pPr>
              <w:spacing w:line="240" w:lineRule="exact"/>
              <w:jc w:val="center"/>
              <w:rPr>
                <w:rFonts w:ascii="仿宋" w:hAnsi="仿宋" w:eastAsia="仿宋" w:cs="宋体"/>
                <w:sz w:val="24"/>
              </w:rPr>
            </w:pPr>
          </w:p>
        </w:tc>
        <w:tc>
          <w:tcPr>
            <w:tcW w:w="1842" w:type="dxa"/>
            <w:vMerge w:val="continue"/>
            <w:shd w:val="clear" w:color="auto" w:fill="auto"/>
            <w:vAlign w:val="center"/>
          </w:tcPr>
          <w:p>
            <w:pPr>
              <w:spacing w:line="240" w:lineRule="exact"/>
              <w:jc w:val="center"/>
              <w:rPr>
                <w:rFonts w:ascii="仿宋" w:hAnsi="仿宋" w:eastAsia="仿宋" w:cs="宋体"/>
                <w:sz w:val="24"/>
              </w:rPr>
            </w:pPr>
          </w:p>
        </w:tc>
        <w:tc>
          <w:tcPr>
            <w:tcW w:w="340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寝室纪律检查</w:t>
            </w:r>
          </w:p>
        </w:tc>
        <w:tc>
          <w:tcPr>
            <w:tcW w:w="2694"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公寓部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8" w:type="dxa"/>
            <w:vMerge w:val="continue"/>
            <w:shd w:val="clear" w:color="auto" w:fill="auto"/>
            <w:vAlign w:val="center"/>
          </w:tcPr>
          <w:p>
            <w:pPr>
              <w:spacing w:line="240" w:lineRule="exact"/>
              <w:jc w:val="center"/>
              <w:rPr>
                <w:rFonts w:ascii="仿宋" w:hAnsi="仿宋" w:eastAsia="仿宋" w:cs="宋体"/>
                <w:sz w:val="24"/>
              </w:rPr>
            </w:pPr>
          </w:p>
        </w:tc>
        <w:tc>
          <w:tcPr>
            <w:tcW w:w="1842" w:type="dxa"/>
            <w:vMerge w:val="continue"/>
            <w:shd w:val="clear" w:color="auto" w:fill="auto"/>
            <w:vAlign w:val="center"/>
          </w:tcPr>
          <w:p>
            <w:pPr>
              <w:spacing w:line="240" w:lineRule="exact"/>
              <w:jc w:val="center"/>
              <w:rPr>
                <w:rFonts w:ascii="仿宋" w:hAnsi="仿宋" w:eastAsia="仿宋" w:cs="宋体"/>
                <w:sz w:val="24"/>
              </w:rPr>
            </w:pPr>
          </w:p>
        </w:tc>
        <w:tc>
          <w:tcPr>
            <w:tcW w:w="340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校园安全巡逻</w:t>
            </w:r>
          </w:p>
        </w:tc>
        <w:tc>
          <w:tcPr>
            <w:tcW w:w="2694"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巡逻队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8" w:type="dxa"/>
            <w:vMerge w:val="continue"/>
            <w:shd w:val="clear" w:color="auto" w:fill="auto"/>
            <w:vAlign w:val="center"/>
          </w:tcPr>
          <w:p>
            <w:pPr>
              <w:spacing w:line="240" w:lineRule="exact"/>
              <w:jc w:val="center"/>
              <w:rPr>
                <w:rFonts w:ascii="仿宋" w:hAnsi="仿宋" w:eastAsia="仿宋" w:cs="宋体"/>
                <w:sz w:val="24"/>
              </w:rPr>
            </w:pPr>
          </w:p>
        </w:tc>
        <w:tc>
          <w:tcPr>
            <w:tcW w:w="1842" w:type="dxa"/>
            <w:vMerge w:val="continue"/>
            <w:shd w:val="clear" w:color="auto" w:fill="auto"/>
            <w:vAlign w:val="center"/>
          </w:tcPr>
          <w:p>
            <w:pPr>
              <w:spacing w:line="240" w:lineRule="exact"/>
              <w:jc w:val="center"/>
              <w:rPr>
                <w:rFonts w:ascii="仿宋" w:hAnsi="仿宋" w:eastAsia="仿宋" w:cs="宋体"/>
                <w:sz w:val="24"/>
              </w:rPr>
            </w:pPr>
          </w:p>
        </w:tc>
        <w:tc>
          <w:tcPr>
            <w:tcW w:w="340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学生事务中心</w:t>
            </w:r>
          </w:p>
        </w:tc>
        <w:tc>
          <w:tcPr>
            <w:tcW w:w="2694"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办公室部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8" w:type="dxa"/>
            <w:vMerge w:val="continue"/>
            <w:shd w:val="clear" w:color="auto" w:fill="auto"/>
            <w:vAlign w:val="center"/>
          </w:tcPr>
          <w:p>
            <w:pPr>
              <w:spacing w:line="240" w:lineRule="exact"/>
              <w:jc w:val="center"/>
              <w:rPr>
                <w:rFonts w:ascii="仿宋" w:hAnsi="仿宋" w:eastAsia="仿宋" w:cs="宋体"/>
                <w:sz w:val="24"/>
              </w:rPr>
            </w:pPr>
          </w:p>
        </w:tc>
        <w:tc>
          <w:tcPr>
            <w:tcW w:w="184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每周</w:t>
            </w:r>
          </w:p>
        </w:tc>
        <w:tc>
          <w:tcPr>
            <w:tcW w:w="340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值周班级督查</w:t>
            </w:r>
          </w:p>
        </w:tc>
        <w:tc>
          <w:tcPr>
            <w:tcW w:w="2694"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纪检部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8" w:type="dxa"/>
            <w:vMerge w:val="continue"/>
            <w:shd w:val="clear" w:color="auto" w:fill="auto"/>
            <w:vAlign w:val="center"/>
          </w:tcPr>
          <w:p>
            <w:pPr>
              <w:spacing w:line="240" w:lineRule="exact"/>
              <w:jc w:val="center"/>
              <w:rPr>
                <w:rFonts w:ascii="仿宋" w:hAnsi="仿宋" w:eastAsia="仿宋" w:cs="宋体"/>
                <w:sz w:val="24"/>
              </w:rPr>
            </w:pPr>
          </w:p>
        </w:tc>
        <w:tc>
          <w:tcPr>
            <w:tcW w:w="184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每月</w:t>
            </w:r>
          </w:p>
        </w:tc>
        <w:tc>
          <w:tcPr>
            <w:tcW w:w="340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志愿者活动</w:t>
            </w:r>
          </w:p>
        </w:tc>
        <w:tc>
          <w:tcPr>
            <w:tcW w:w="2694"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文体部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8" w:type="dxa"/>
            <w:vMerge w:val="restart"/>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重大活动</w:t>
            </w:r>
          </w:p>
        </w:tc>
        <w:tc>
          <w:tcPr>
            <w:tcW w:w="184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3月</w:t>
            </w:r>
          </w:p>
        </w:tc>
        <w:tc>
          <w:tcPr>
            <w:tcW w:w="340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南丁格尔传光授帽仪式</w:t>
            </w:r>
          </w:p>
        </w:tc>
        <w:tc>
          <w:tcPr>
            <w:tcW w:w="2694"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8" w:type="dxa"/>
            <w:vMerge w:val="continue"/>
            <w:shd w:val="clear" w:color="auto" w:fill="auto"/>
            <w:vAlign w:val="center"/>
          </w:tcPr>
          <w:p>
            <w:pPr>
              <w:spacing w:line="240" w:lineRule="exact"/>
              <w:jc w:val="center"/>
              <w:rPr>
                <w:rFonts w:ascii="仿宋" w:hAnsi="仿宋" w:eastAsia="仿宋" w:cs="宋体"/>
                <w:sz w:val="24"/>
              </w:rPr>
            </w:pPr>
          </w:p>
        </w:tc>
        <w:tc>
          <w:tcPr>
            <w:tcW w:w="184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4-5月</w:t>
            </w:r>
          </w:p>
        </w:tc>
        <w:tc>
          <w:tcPr>
            <w:tcW w:w="340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文化艺术技能节</w:t>
            </w:r>
          </w:p>
        </w:tc>
        <w:tc>
          <w:tcPr>
            <w:tcW w:w="2694"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8" w:type="dxa"/>
            <w:vMerge w:val="continue"/>
            <w:shd w:val="clear" w:color="auto" w:fill="auto"/>
            <w:vAlign w:val="center"/>
          </w:tcPr>
          <w:p>
            <w:pPr>
              <w:spacing w:line="240" w:lineRule="exact"/>
              <w:jc w:val="center"/>
              <w:rPr>
                <w:rFonts w:ascii="仿宋" w:hAnsi="仿宋" w:eastAsia="仿宋" w:cs="宋体"/>
                <w:sz w:val="24"/>
              </w:rPr>
            </w:pPr>
          </w:p>
        </w:tc>
        <w:tc>
          <w:tcPr>
            <w:tcW w:w="184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8月</w:t>
            </w:r>
          </w:p>
        </w:tc>
        <w:tc>
          <w:tcPr>
            <w:tcW w:w="340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接待新生</w:t>
            </w:r>
          </w:p>
        </w:tc>
        <w:tc>
          <w:tcPr>
            <w:tcW w:w="2694"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8" w:type="dxa"/>
            <w:vMerge w:val="continue"/>
            <w:shd w:val="clear" w:color="auto" w:fill="auto"/>
            <w:vAlign w:val="center"/>
          </w:tcPr>
          <w:p>
            <w:pPr>
              <w:spacing w:line="240" w:lineRule="exact"/>
              <w:jc w:val="center"/>
              <w:rPr>
                <w:rFonts w:ascii="仿宋" w:hAnsi="仿宋" w:eastAsia="仿宋" w:cs="宋体"/>
                <w:sz w:val="24"/>
              </w:rPr>
            </w:pPr>
          </w:p>
        </w:tc>
        <w:tc>
          <w:tcPr>
            <w:tcW w:w="184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10月</w:t>
            </w:r>
          </w:p>
        </w:tc>
        <w:tc>
          <w:tcPr>
            <w:tcW w:w="340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校运会</w:t>
            </w:r>
          </w:p>
        </w:tc>
        <w:tc>
          <w:tcPr>
            <w:tcW w:w="2694"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文体部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8" w:type="dxa"/>
            <w:vMerge w:val="continue"/>
            <w:shd w:val="clear" w:color="auto" w:fill="auto"/>
            <w:vAlign w:val="center"/>
          </w:tcPr>
          <w:p>
            <w:pPr>
              <w:spacing w:line="240" w:lineRule="exact"/>
              <w:jc w:val="center"/>
              <w:rPr>
                <w:rFonts w:ascii="仿宋" w:hAnsi="仿宋" w:eastAsia="仿宋" w:cs="宋体"/>
                <w:sz w:val="24"/>
              </w:rPr>
            </w:pPr>
          </w:p>
        </w:tc>
        <w:tc>
          <w:tcPr>
            <w:tcW w:w="184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11月</w:t>
            </w:r>
          </w:p>
        </w:tc>
        <w:tc>
          <w:tcPr>
            <w:tcW w:w="340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技能锦标赛</w:t>
            </w:r>
          </w:p>
        </w:tc>
        <w:tc>
          <w:tcPr>
            <w:tcW w:w="2694"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68" w:type="dxa"/>
            <w:vMerge w:val="continue"/>
            <w:shd w:val="clear" w:color="auto" w:fill="auto"/>
            <w:vAlign w:val="center"/>
          </w:tcPr>
          <w:p>
            <w:pPr>
              <w:spacing w:line="240" w:lineRule="exact"/>
              <w:jc w:val="center"/>
              <w:rPr>
                <w:rFonts w:ascii="仿宋" w:hAnsi="仿宋" w:eastAsia="仿宋" w:cs="宋体"/>
                <w:sz w:val="24"/>
              </w:rPr>
            </w:pPr>
          </w:p>
        </w:tc>
        <w:tc>
          <w:tcPr>
            <w:tcW w:w="184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12月</w:t>
            </w:r>
          </w:p>
        </w:tc>
        <w:tc>
          <w:tcPr>
            <w:tcW w:w="3402"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元旦迎新综艺活动</w:t>
            </w:r>
          </w:p>
        </w:tc>
        <w:tc>
          <w:tcPr>
            <w:tcW w:w="2694" w:type="dxa"/>
            <w:shd w:val="clear" w:color="auto" w:fill="auto"/>
            <w:vAlign w:val="center"/>
          </w:tcPr>
          <w:p>
            <w:pPr>
              <w:spacing w:line="240" w:lineRule="exact"/>
              <w:jc w:val="center"/>
              <w:rPr>
                <w:rFonts w:ascii="仿宋" w:hAnsi="仿宋" w:eastAsia="仿宋" w:cs="宋体"/>
                <w:sz w:val="24"/>
              </w:rPr>
            </w:pPr>
            <w:r>
              <w:rPr>
                <w:rFonts w:hint="eastAsia" w:ascii="仿宋" w:hAnsi="仿宋" w:eastAsia="仿宋" w:cs="宋体"/>
                <w:sz w:val="24"/>
              </w:rPr>
              <w:t>全体</w:t>
            </w:r>
          </w:p>
        </w:tc>
      </w:tr>
    </w:tbl>
    <w:p>
      <w:pPr>
        <w:jc w:val="center"/>
        <w:rPr>
          <w:rFonts w:ascii="Times New Roman" w:hAnsi="Times New Roman"/>
          <w:sz w:val="24"/>
        </w:rPr>
      </w:pPr>
    </w:p>
    <w:bookmarkEnd w:id="50"/>
    <w:p>
      <w:pPr>
        <w:pStyle w:val="3"/>
        <w:keepNext w:val="0"/>
        <w:keepLines w:val="0"/>
        <w:adjustRightInd w:val="0"/>
        <w:snapToGrid w:val="0"/>
        <w:spacing w:before="156" w:beforeLines="50" w:line="360" w:lineRule="auto"/>
        <w:ind w:firstLine="700" w:firstLineChars="250"/>
        <w:rPr>
          <w:b w:val="0"/>
          <w:sz w:val="28"/>
          <w:szCs w:val="28"/>
        </w:rPr>
      </w:pPr>
      <w:bookmarkStart w:id="54" w:name="_Toc471905945"/>
      <w:bookmarkStart w:id="55" w:name="_Toc5446"/>
      <w:r>
        <w:rPr>
          <w:rFonts w:hint="eastAsia"/>
          <w:b w:val="0"/>
          <w:sz w:val="28"/>
          <w:szCs w:val="28"/>
        </w:rPr>
        <w:t>3.6党建工作</w:t>
      </w:r>
    </w:p>
    <w:p>
      <w:pPr>
        <w:adjustRightInd w:val="0"/>
        <w:snapToGrid w:val="0"/>
        <w:spacing w:line="360" w:lineRule="auto"/>
        <w:ind w:left="17" w:leftChars="8" w:firstLine="513" w:firstLineChars="214"/>
        <w:jc w:val="left"/>
        <w:rPr>
          <w:rFonts w:ascii="宋体" w:hAnsi="宋体"/>
          <w:sz w:val="24"/>
        </w:rPr>
      </w:pPr>
      <w:r>
        <w:rPr>
          <w:rFonts w:hint="eastAsia" w:ascii="宋体" w:hAnsi="宋体"/>
          <w:sz w:val="24"/>
        </w:rPr>
        <w:t>在卫生健康局党委的指导和关爱下，学校总支部高举习近平新时代中国特色社会主义思想伟大旗帜，全面从严治党，突出抓班子、带队伍、理思路、解难题的工作思路，深入开展常态化学习教育、服务型党组织建设、主题教育系列活动、党建品牌培育等工作，有力地推动了学校持续、稳定、健康、高质量地发展。</w:t>
      </w:r>
    </w:p>
    <w:p>
      <w:pPr>
        <w:adjustRightInd w:val="0"/>
        <w:snapToGrid w:val="0"/>
        <w:spacing w:line="360" w:lineRule="auto"/>
        <w:ind w:left="17" w:leftChars="8" w:firstLine="513" w:firstLineChars="214"/>
        <w:jc w:val="left"/>
        <w:rPr>
          <w:rFonts w:ascii="宋体" w:hAnsi="宋体"/>
          <w:sz w:val="24"/>
        </w:rPr>
      </w:pPr>
      <w:r>
        <w:rPr>
          <w:rFonts w:hint="eastAsia" w:ascii="宋体" w:hAnsi="宋体"/>
          <w:sz w:val="24"/>
        </w:rPr>
        <w:t>坚持政治首位，强化思想武装。提高政治站位，政治站位上与中央保持高度一致，落实党建责任，强化学习管理，全面落实意识形态工作责任制要求，坚守思想阵地，强化宣传载体建设，把握意识形态主动权，努力提升学校宣传水平。学校党总支现有党员57人，全年召开专题党课8次；开展专题讨论学习15次；召开党风廉政专项会议12次；23位党员参加基层“补钙加油”集中轮训；组织广大党员积极参加纪检、党章学习10余次，警示教育参观1次。全年共出刊40期党建板报；推送12篇党建微信；创办校内刊物2份。</w:t>
      </w:r>
    </w:p>
    <w:p>
      <w:pPr>
        <w:adjustRightInd w:val="0"/>
        <w:snapToGrid w:val="0"/>
        <w:spacing w:line="360" w:lineRule="auto"/>
        <w:ind w:left="17" w:leftChars="8" w:firstLine="513" w:firstLineChars="214"/>
        <w:jc w:val="left"/>
        <w:rPr>
          <w:rFonts w:ascii="宋体" w:hAnsi="宋体"/>
          <w:sz w:val="24"/>
        </w:rPr>
      </w:pPr>
      <w:r>
        <w:rPr>
          <w:rFonts w:hint="eastAsia" w:ascii="宋体" w:hAnsi="宋体"/>
          <w:sz w:val="24"/>
        </w:rPr>
        <w:t>坚持班子带队，强化队伍建设。加强班子建设，层层落实党建工作责任制。全年，总支委开展党员干部谈心谈话54人次。贯彻民主集中，广大教师参与学校管理，推进学校民主化建设。加强清廉建设，改进工作作风，加强纪律教育，加大监督执纪力度，对“四</w:t>
      </w:r>
      <w:r>
        <w:rPr>
          <w:rFonts w:ascii="宋体" w:hAnsi="宋体"/>
          <w:sz w:val="24"/>
        </w:rPr>
        <w:t>风</w:t>
      </w:r>
      <w:r>
        <w:rPr>
          <w:rFonts w:hint="eastAsia" w:ascii="宋体" w:hAnsi="宋体"/>
          <w:sz w:val="24"/>
        </w:rPr>
        <w:t>问题”“零容忍”。</w:t>
      </w:r>
    </w:p>
    <w:p>
      <w:pPr>
        <w:adjustRightInd w:val="0"/>
        <w:snapToGrid w:val="0"/>
        <w:spacing w:line="360" w:lineRule="auto"/>
        <w:ind w:left="17" w:leftChars="8" w:firstLine="513" w:firstLineChars="214"/>
        <w:jc w:val="left"/>
        <w:rPr>
          <w:rFonts w:ascii="宋体" w:hAnsi="宋体"/>
          <w:sz w:val="24"/>
        </w:rPr>
      </w:pPr>
      <w:r>
        <w:rPr>
          <w:rFonts w:hint="eastAsia" w:ascii="宋体" w:hAnsi="宋体"/>
          <w:sz w:val="24"/>
        </w:rPr>
        <w:t>坚持党建引领，夯实党建基础。强化组织建设，推进“支部提升”工程；注重制度建设，抓实党支部堡垒制度化建设。注重常规落实，抓好基层党组织规范化建设。注重特色创建，抓强基层党组织品牌化建设。加强党、团、群共建，打造支部党建品牌项目。严格管理党员队伍，切实加强基层党组织和党员队伍建设。开展党员党性教育培训，从严管理党员队伍，做好引导培养工作。全年收到入党申请书130份，共计培育学生入党积极分子50人。</w:t>
      </w:r>
    </w:p>
    <w:p>
      <w:pPr>
        <w:adjustRightInd w:val="0"/>
        <w:snapToGrid w:val="0"/>
        <w:spacing w:line="360" w:lineRule="auto"/>
        <w:ind w:left="17" w:leftChars="8" w:firstLine="513" w:firstLineChars="214"/>
        <w:jc w:val="left"/>
        <w:rPr>
          <w:rFonts w:ascii="宋体" w:hAnsi="宋体"/>
          <w:color w:val="C00000"/>
          <w:sz w:val="24"/>
        </w:rPr>
      </w:pPr>
      <w:r>
        <w:rPr>
          <w:rFonts w:hint="eastAsia" w:ascii="宋体" w:hAnsi="宋体"/>
          <w:sz w:val="24"/>
        </w:rPr>
        <w:t>深化主题教育，推动高质发展。全方位落实学习教育，开展班子集中学习研讨7次，总支书记上专题党课1次。全角度深入调查研究，以校园安全为调研课题，立查立改，解决实际问题，认真撰写调研报告。全身心对照检视整改。召开专题研讨，对照群众意见建议，对照 “双指数”考评标准和党员负面言行清单等，查找差距和不足，深入剖析，明确努力方向。班子召开专题民主生活会和组织生活会，深入开展批评与自我批评，抓落实整改。</w:t>
      </w:r>
    </w:p>
    <w:p>
      <w:pPr>
        <w:pStyle w:val="2"/>
        <w:keepNext w:val="0"/>
        <w:keepLines w:val="0"/>
        <w:adjustRightInd w:val="0"/>
        <w:snapToGrid w:val="0"/>
        <w:spacing w:before="156" w:beforeLines="50" w:line="360" w:lineRule="auto"/>
        <w:ind w:firstLine="602" w:firstLineChars="200"/>
        <w:rPr>
          <w:rFonts w:ascii="黑体" w:hAnsi="黑体" w:eastAsia="黑体" w:cs="黑体"/>
          <w:sz w:val="30"/>
          <w:szCs w:val="30"/>
        </w:rPr>
      </w:pPr>
      <w:r>
        <w:rPr>
          <w:rFonts w:hint="eastAsia" w:ascii="黑体" w:hAnsi="黑体" w:eastAsia="黑体" w:cs="黑体"/>
          <w:sz w:val="30"/>
          <w:szCs w:val="30"/>
        </w:rPr>
        <w:t>4.校企合作</w:t>
      </w:r>
      <w:bookmarkEnd w:id="54"/>
      <w:bookmarkEnd w:id="55"/>
    </w:p>
    <w:p>
      <w:pPr>
        <w:pStyle w:val="3"/>
        <w:keepNext w:val="0"/>
        <w:keepLines w:val="0"/>
        <w:adjustRightInd w:val="0"/>
        <w:snapToGrid w:val="0"/>
        <w:spacing w:line="360" w:lineRule="auto"/>
        <w:ind w:firstLine="560" w:firstLineChars="200"/>
        <w:rPr>
          <w:b w:val="0"/>
          <w:sz w:val="28"/>
          <w:szCs w:val="28"/>
        </w:rPr>
      </w:pPr>
      <w:bookmarkStart w:id="56" w:name="_Toc22919"/>
      <w:bookmarkStart w:id="57" w:name="_Toc471905946"/>
      <w:bookmarkStart w:id="58" w:name="_Toc30502"/>
      <w:bookmarkStart w:id="59" w:name="_Toc471905947"/>
      <w:r>
        <w:rPr>
          <w:rFonts w:hint="eastAsia"/>
          <w:b w:val="0"/>
          <w:sz w:val="28"/>
          <w:szCs w:val="28"/>
        </w:rPr>
        <w:t>4.1校企合作开展情况和效果</w:t>
      </w:r>
      <w:bookmarkEnd w:id="56"/>
      <w:bookmarkEnd w:id="57"/>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学校根据专业办学特点，不断深化校企合作，健全校企合作机制，拓展合作内容，提升人才培养、技能培训和社会服务能力，实现了校企双赢。</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学校在“校企合作工作领导小组”，“专业指导委员会”和“实习实训管理委员会”的共同管理下，通过建立校企共建实训（实习）基地，共建专业人才培养模式、开展订单培养等方式，有效整合与统筹行业、企业的教育教学资源、技能实训资源。截至2019年12月，学校已在全省建立签约合作的各专业校外实训实习基地72家；深入推进与杭州口腔医院海宁分院开展现代学徒制合作培养。2019年度有8名学徒在岗就业并转为正式员工，35名学徒正在进行院校培养，初步形成医院、学校、学生三赢局面，共同服务于区域健康卫生产业。</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进一步深化与嘉兴湘家荡颐养中心共建养老护理产学研基地，2019年选派20名实习生进入湘家荡颐养中心实习，并带领39名学生开展“走进湘家荡”项目，共同探索养老护理人才培养模式。与海港医药开始校企合作人才一体化培养模式的探索，开设药剂专业“海港班”，2019年度共发放“海港奖学金”共计5000元，28人次获奖，以鼓励学习成绩突出，引导和吸引学生就业。</w:t>
      </w:r>
    </w:p>
    <w:p>
      <w:pPr>
        <w:autoSpaceDE w:val="0"/>
        <w:autoSpaceDN w:val="0"/>
        <w:adjustRightInd w:val="0"/>
        <w:spacing w:line="360" w:lineRule="auto"/>
        <w:ind w:firstLine="480" w:firstLineChars="200"/>
        <w:jc w:val="left"/>
        <w:rPr>
          <w:rFonts w:asciiTheme="minorEastAsia" w:hAnsiTheme="minorEastAsia" w:eastAsiaTheme="minorEastAsia"/>
          <w:sz w:val="24"/>
        </w:rPr>
      </w:pPr>
      <w:r>
        <w:rPr>
          <w:rFonts w:hint="eastAsia" w:ascii="宋体" w:hAnsi="宋体" w:cs="宋体"/>
          <w:sz w:val="24"/>
        </w:rPr>
        <w:t>2019年，针对口腔护理方向，我校新增顶岗实习点一</w:t>
      </w:r>
      <w:r>
        <w:rPr>
          <w:rFonts w:ascii="宋体" w:hAnsi="宋体" w:cs="宋体"/>
          <w:sz w:val="24"/>
        </w:rPr>
        <w:t>家</w:t>
      </w:r>
      <w:r>
        <w:rPr>
          <w:rFonts w:hint="eastAsia" w:ascii="宋体" w:hAnsi="宋体" w:cs="宋体"/>
          <w:sz w:val="24"/>
        </w:rPr>
        <w:t>；同时我校将与海</w:t>
      </w:r>
      <w:r>
        <w:rPr>
          <w:rFonts w:ascii="宋体" w:hAnsi="宋体" w:cs="宋体"/>
          <w:sz w:val="24"/>
        </w:rPr>
        <w:t>宁市</w:t>
      </w:r>
      <w:r>
        <w:rPr>
          <w:rFonts w:hint="eastAsia" w:ascii="宋体" w:hAnsi="宋体" w:cs="宋体"/>
          <w:sz w:val="24"/>
        </w:rPr>
        <w:t>康华医院进一</w:t>
      </w:r>
      <w:r>
        <w:rPr>
          <w:rFonts w:ascii="宋体" w:hAnsi="宋体" w:cs="宋体"/>
          <w:sz w:val="24"/>
        </w:rPr>
        <w:t>步合作，</w:t>
      </w:r>
      <w:r>
        <w:rPr>
          <w:rFonts w:hint="eastAsia" w:ascii="宋体" w:hAnsi="宋体" w:cs="宋体"/>
          <w:sz w:val="24"/>
        </w:rPr>
        <w:t>拓展“现</w:t>
      </w:r>
      <w:r>
        <w:rPr>
          <w:rFonts w:ascii="宋体" w:hAnsi="宋体" w:cs="宋体"/>
          <w:sz w:val="24"/>
        </w:rPr>
        <w:t>代学徒制”</w:t>
      </w:r>
      <w:r>
        <w:rPr>
          <w:rFonts w:hint="eastAsia" w:ascii="宋体" w:hAnsi="宋体" w:cs="宋体"/>
          <w:sz w:val="24"/>
        </w:rPr>
        <w:t>订</w:t>
      </w:r>
      <w:r>
        <w:rPr>
          <w:rFonts w:ascii="宋体" w:hAnsi="宋体" w:cs="宋体"/>
          <w:sz w:val="24"/>
        </w:rPr>
        <w:t>单式</w:t>
      </w:r>
      <w:r>
        <w:rPr>
          <w:rFonts w:hint="eastAsia" w:ascii="宋体" w:hAnsi="宋体" w:cs="宋体"/>
          <w:sz w:val="24"/>
        </w:rPr>
        <w:t>人才</w:t>
      </w:r>
      <w:r>
        <w:rPr>
          <w:rFonts w:ascii="宋体" w:hAnsi="宋体" w:cs="宋体"/>
          <w:sz w:val="24"/>
        </w:rPr>
        <w:t>培养</w:t>
      </w:r>
      <w:r>
        <w:rPr>
          <w:rFonts w:hint="eastAsia" w:ascii="宋体" w:hAnsi="宋体" w:cs="宋体"/>
          <w:sz w:val="24"/>
        </w:rPr>
        <w:t>，</w:t>
      </w:r>
      <w:r>
        <w:rPr>
          <w:rFonts w:ascii="宋体" w:hAnsi="宋体" w:cs="宋体"/>
          <w:sz w:val="24"/>
        </w:rPr>
        <w:t>为更多学生与企业提供服务</w:t>
      </w:r>
      <w:r>
        <w:rPr>
          <w:rFonts w:hint="eastAsia" w:ascii="宋体" w:hAnsi="宋体" w:cs="宋体"/>
          <w:sz w:val="24"/>
        </w:rPr>
        <w:t>。</w:t>
      </w:r>
      <w:r>
        <w:rPr>
          <w:rFonts w:hint="eastAsia" w:asciiTheme="minorEastAsia" w:hAnsiTheme="minorEastAsia" w:eastAsiaTheme="minorEastAsia"/>
          <w:sz w:val="24"/>
        </w:rPr>
        <w:t xml:space="preserve"> </w:t>
      </w:r>
    </w:p>
    <w:p>
      <w:pPr>
        <w:pStyle w:val="3"/>
        <w:keepNext w:val="0"/>
        <w:keepLines w:val="0"/>
        <w:adjustRightInd w:val="0"/>
        <w:snapToGrid w:val="0"/>
        <w:spacing w:line="360" w:lineRule="auto"/>
        <w:ind w:firstLine="420" w:firstLineChars="150"/>
        <w:rPr>
          <w:rFonts w:ascii="黑体" w:hAnsi="黑体" w:cs="黑体"/>
          <w:b w:val="0"/>
          <w:sz w:val="28"/>
          <w:szCs w:val="28"/>
        </w:rPr>
      </w:pPr>
      <w:r>
        <w:rPr>
          <w:rFonts w:hint="eastAsia"/>
          <w:b w:val="0"/>
          <w:sz w:val="28"/>
          <w:szCs w:val="28"/>
        </w:rPr>
        <w:t>4.2</w:t>
      </w:r>
      <w:r>
        <w:rPr>
          <w:rFonts w:hint="eastAsia" w:ascii="黑体" w:hAnsi="黑体" w:cs="黑体"/>
          <w:b w:val="0"/>
          <w:sz w:val="28"/>
          <w:szCs w:val="28"/>
        </w:rPr>
        <w:t>学生实习情况</w:t>
      </w:r>
      <w:bookmarkEnd w:id="58"/>
      <w:bookmarkEnd w:id="59"/>
    </w:p>
    <w:p>
      <w:pPr>
        <w:spacing w:line="360" w:lineRule="auto"/>
        <w:ind w:firstLine="720" w:firstLineChars="300"/>
        <w:rPr>
          <w:rFonts w:ascii="宋体" w:hAnsi="宋体" w:cs="宋体"/>
          <w:sz w:val="24"/>
        </w:rPr>
      </w:pPr>
      <w:r>
        <w:rPr>
          <w:rFonts w:hint="eastAsia" w:ascii="宋体" w:hAnsi="宋体" w:cs="宋体"/>
          <w:sz w:val="24"/>
        </w:rPr>
        <w:t>学校认真执行国家教育部的相关实习规定，结合医药卫生类专业临床实习规范，成立学校实习管理工作领导小组和实习实训管理处，严格按照学校《实习生管理制度》、《实习生准入制度》、《专业实习大纲》等规范性制度，强化实习前教育和家校沟通、细化实习期间的过程管理、量化实习后的考核评价，规范组织和安排学生实习工作。</w:t>
      </w:r>
    </w:p>
    <w:p>
      <w:pPr>
        <w:spacing w:line="360" w:lineRule="auto"/>
        <w:ind w:firstLine="720" w:firstLineChars="300"/>
      </w:pPr>
      <w:r>
        <w:rPr>
          <w:rFonts w:hint="eastAsia" w:ascii="宋体" w:hAnsi="宋体" w:cs="宋体"/>
          <w:sz w:val="24"/>
        </w:rPr>
        <w:t>2019年，17级共有833名学生进入实习岗位，其中护理专业381人，助产100人，药剂专业217人 ，医学检验技术专业55人，医学影像专业29人，五年一贯制药学和中药班共110名学生即将于2020年2月2日进入临床岗位。截至2019年12日，通过与实习单位定期工作联系、组织实习检查、实习小组月报、班主任管理等途径反馈，我校实习生在工作纪律、综合素养、专业技能、理论知识水平等方面普遍得到实习单位的肯定，通过70多家校外实习基地联系调查中，满意率为95.9%。据统计有10多名实习生受到医院书面表扬，1717班朱天文收到患者锦旗一面，1715班俞杨同学参加医院技能竞赛获CPR比赛一等奖等奖项。</w:t>
      </w:r>
    </w:p>
    <w:p>
      <w:pPr>
        <w:pStyle w:val="3"/>
        <w:keepNext w:val="0"/>
        <w:keepLines w:val="0"/>
        <w:adjustRightInd w:val="0"/>
        <w:snapToGrid w:val="0"/>
        <w:spacing w:line="360" w:lineRule="auto"/>
        <w:ind w:firstLine="420" w:firstLineChars="150"/>
        <w:rPr>
          <w:b w:val="0"/>
          <w:sz w:val="28"/>
          <w:szCs w:val="28"/>
        </w:rPr>
      </w:pPr>
      <w:bookmarkStart w:id="60" w:name="_Toc471905948"/>
      <w:bookmarkStart w:id="61" w:name="_Toc1623"/>
      <w:r>
        <w:rPr>
          <w:rFonts w:hint="eastAsia"/>
          <w:b w:val="0"/>
          <w:sz w:val="28"/>
          <w:szCs w:val="28"/>
        </w:rPr>
        <w:t>4.3集团化办学情况</w:t>
      </w:r>
      <w:bookmarkEnd w:id="60"/>
      <w:bookmarkEnd w:id="61"/>
    </w:p>
    <w:p>
      <w:pPr>
        <w:adjustRightInd w:val="0"/>
        <w:snapToGrid w:val="0"/>
        <w:spacing w:line="360" w:lineRule="auto"/>
        <w:ind w:left="17" w:leftChars="8" w:firstLine="513" w:firstLineChars="214"/>
        <w:jc w:val="left"/>
        <w:rPr>
          <w:rFonts w:asciiTheme="minorEastAsia" w:hAnsiTheme="minorEastAsia" w:eastAsiaTheme="minorEastAsia"/>
          <w:sz w:val="24"/>
        </w:rPr>
      </w:pPr>
      <w:r>
        <w:rPr>
          <w:rFonts w:hint="eastAsia" w:asciiTheme="minorEastAsia" w:hAnsiTheme="minorEastAsia" w:eastAsiaTheme="minorEastAsia"/>
          <w:sz w:val="24"/>
        </w:rPr>
        <w:t>学</w:t>
      </w:r>
      <w:r>
        <w:rPr>
          <w:rFonts w:hint="eastAsia" w:ascii="宋体" w:hAnsi="宋体"/>
          <w:sz w:val="24"/>
        </w:rPr>
        <w:t>校牵头成立海宁市健康教育协会，目前拥有会员单位20家，积极开展会员单位和社会健康教育促进工作；2019年，学校继续与全省8所高等院校合作办学。与浙江医药高等专科学校共同组建“浙江医药职业教育联盟”并担任副事长单位；参与杭州医学院牵头的“浙江医学职业教育集团”，为主要成员，参与宁波卫生职业技术学院牵头的“健康服务类人才中高职一体化培养教育联盟”；参与金华职业技术学院、衢州职业技术学院、舟山新区旅游与健康职业技术学院的教学联盟。2019年度学校继续被评为“宁波卫生职业技术学院健康服务类人才中高职一体化培养教育联盟”工作先进单位。</w:t>
      </w:r>
    </w:p>
    <w:p>
      <w:pPr>
        <w:pStyle w:val="2"/>
        <w:keepNext w:val="0"/>
        <w:keepLines w:val="0"/>
        <w:adjustRightInd w:val="0"/>
        <w:snapToGrid w:val="0"/>
        <w:spacing w:before="156" w:beforeLines="50" w:line="360" w:lineRule="auto"/>
        <w:ind w:firstLine="452" w:firstLineChars="150"/>
        <w:rPr>
          <w:rFonts w:ascii="黑体" w:hAnsi="黑体" w:eastAsia="黑体" w:cs="黑体"/>
          <w:sz w:val="30"/>
          <w:szCs w:val="30"/>
        </w:rPr>
      </w:pPr>
      <w:bookmarkStart w:id="62" w:name="_Toc471905950"/>
      <w:bookmarkStart w:id="63" w:name="_Toc27397"/>
      <w:r>
        <w:rPr>
          <w:rFonts w:hint="eastAsia" w:ascii="黑体" w:hAnsi="黑体" w:eastAsia="黑体" w:cs="黑体"/>
          <w:sz w:val="30"/>
          <w:szCs w:val="30"/>
        </w:rPr>
        <w:t>5.社会贡献</w:t>
      </w:r>
      <w:bookmarkEnd w:id="62"/>
      <w:bookmarkEnd w:id="63"/>
    </w:p>
    <w:p>
      <w:pPr>
        <w:pStyle w:val="3"/>
        <w:keepNext w:val="0"/>
        <w:keepLines w:val="0"/>
        <w:adjustRightInd w:val="0"/>
        <w:snapToGrid w:val="0"/>
        <w:spacing w:line="360" w:lineRule="auto"/>
        <w:ind w:firstLine="420" w:firstLineChars="150"/>
        <w:rPr>
          <w:b w:val="0"/>
          <w:sz w:val="28"/>
          <w:szCs w:val="28"/>
        </w:rPr>
      </w:pPr>
      <w:bookmarkStart w:id="64" w:name="_Toc26346"/>
      <w:bookmarkStart w:id="65" w:name="_Toc471905951"/>
      <w:r>
        <w:rPr>
          <w:rFonts w:hint="eastAsia"/>
          <w:b w:val="0"/>
          <w:sz w:val="28"/>
          <w:szCs w:val="28"/>
        </w:rPr>
        <w:t>5.1技术技能人才培养</w:t>
      </w:r>
      <w:bookmarkEnd w:id="64"/>
      <w:bookmarkEnd w:id="65"/>
    </w:p>
    <w:p>
      <w:pPr>
        <w:adjustRightInd w:val="0"/>
        <w:snapToGrid w:val="0"/>
        <w:spacing w:line="360" w:lineRule="auto"/>
        <w:ind w:left="17" w:leftChars="8" w:firstLine="393" w:firstLineChars="164"/>
        <w:jc w:val="left"/>
        <w:rPr>
          <w:rFonts w:asciiTheme="minorEastAsia" w:hAnsiTheme="minorEastAsia" w:eastAsiaTheme="minorEastAsia"/>
          <w:sz w:val="24"/>
        </w:rPr>
      </w:pPr>
      <w:bookmarkStart w:id="66" w:name="_Toc4958"/>
      <w:bookmarkStart w:id="67" w:name="_Toc471905952"/>
      <w:r>
        <w:rPr>
          <w:rFonts w:hint="eastAsia" w:asciiTheme="minorEastAsia" w:hAnsiTheme="minorEastAsia" w:eastAsiaTheme="minorEastAsia"/>
          <w:sz w:val="24"/>
        </w:rPr>
        <w:t>学校接轨区域卫生行业和健康服务产业的快速发展，充分发挥学校医药卫生专业的优势。201</w:t>
      </w:r>
      <w:r>
        <w:rPr>
          <w:rFonts w:asciiTheme="minorEastAsia" w:hAnsiTheme="minorEastAsia" w:eastAsiaTheme="minorEastAsia"/>
          <w:sz w:val="24"/>
        </w:rPr>
        <w:t>9</w:t>
      </w:r>
      <w:r>
        <w:rPr>
          <w:rFonts w:hint="eastAsia" w:asciiTheme="minorEastAsia" w:hAnsiTheme="minorEastAsia" w:eastAsiaTheme="minorEastAsia"/>
          <w:sz w:val="24"/>
        </w:rPr>
        <w:t>年，为全省基层医疗卫生机构、社会养老服务机构等直接输送初、中级实用型、技能型服务人才</w:t>
      </w:r>
      <w:r>
        <w:rPr>
          <w:rFonts w:asciiTheme="minorEastAsia" w:hAnsiTheme="minorEastAsia" w:eastAsiaTheme="minorEastAsia"/>
          <w:sz w:val="24"/>
        </w:rPr>
        <w:t>428</w:t>
      </w:r>
      <w:r>
        <w:rPr>
          <w:rFonts w:hint="eastAsia" w:asciiTheme="minorEastAsia" w:hAnsiTheme="minorEastAsia" w:eastAsiaTheme="minorEastAsia"/>
          <w:sz w:val="24"/>
        </w:rPr>
        <w:t>名，通过</w:t>
      </w:r>
      <w:r>
        <w:rPr>
          <w:rFonts w:asciiTheme="minorEastAsia" w:hAnsiTheme="minorEastAsia" w:eastAsiaTheme="minorEastAsia"/>
          <w:sz w:val="24"/>
        </w:rPr>
        <w:t>五年一</w:t>
      </w:r>
      <w:r>
        <w:rPr>
          <w:rFonts w:hint="eastAsia" w:asciiTheme="minorEastAsia" w:hAnsiTheme="minorEastAsia" w:eastAsiaTheme="minorEastAsia"/>
          <w:sz w:val="24"/>
        </w:rPr>
        <w:t>贯</w:t>
      </w:r>
      <w:r>
        <w:rPr>
          <w:rFonts w:asciiTheme="minorEastAsia" w:hAnsiTheme="minorEastAsia" w:eastAsiaTheme="minorEastAsia"/>
          <w:sz w:val="24"/>
        </w:rPr>
        <w:t>制</w:t>
      </w:r>
      <w:r>
        <w:rPr>
          <w:rFonts w:hint="eastAsia" w:asciiTheme="minorEastAsia" w:hAnsiTheme="minorEastAsia" w:eastAsiaTheme="minorEastAsia"/>
          <w:sz w:val="24"/>
        </w:rPr>
        <w:t>向省内高校输送优质生源</w:t>
      </w:r>
      <w:r>
        <w:rPr>
          <w:rFonts w:asciiTheme="minorEastAsia" w:hAnsiTheme="minorEastAsia" w:eastAsiaTheme="minorEastAsia"/>
          <w:sz w:val="24"/>
        </w:rPr>
        <w:t>513</w:t>
      </w:r>
      <w:r>
        <w:rPr>
          <w:rFonts w:hint="eastAsia" w:asciiTheme="minorEastAsia" w:hAnsiTheme="minorEastAsia" w:eastAsiaTheme="minorEastAsia"/>
          <w:sz w:val="24"/>
        </w:rPr>
        <w:t>名，单</w:t>
      </w:r>
      <w:r>
        <w:rPr>
          <w:rFonts w:asciiTheme="minorEastAsia" w:hAnsiTheme="minorEastAsia" w:eastAsiaTheme="minorEastAsia"/>
          <w:sz w:val="24"/>
        </w:rPr>
        <w:t>考单招</w:t>
      </w:r>
      <w:r>
        <w:rPr>
          <w:rFonts w:hint="eastAsia" w:asciiTheme="minorEastAsia" w:hAnsiTheme="minorEastAsia" w:eastAsiaTheme="minorEastAsia"/>
          <w:sz w:val="24"/>
        </w:rPr>
        <w:t>及</w:t>
      </w:r>
      <w:r>
        <w:rPr>
          <w:rFonts w:asciiTheme="minorEastAsia" w:hAnsiTheme="minorEastAsia" w:eastAsiaTheme="minorEastAsia"/>
          <w:sz w:val="24"/>
        </w:rPr>
        <w:t>扩招升学</w:t>
      </w:r>
      <w:r>
        <w:rPr>
          <w:rFonts w:hint="eastAsia" w:asciiTheme="minorEastAsia" w:hAnsiTheme="minorEastAsia" w:eastAsiaTheme="minorEastAsia"/>
          <w:sz w:val="24"/>
        </w:rPr>
        <w:t>220人</w:t>
      </w:r>
      <w:r>
        <w:rPr>
          <w:rFonts w:asciiTheme="minorEastAsia" w:hAnsiTheme="minorEastAsia" w:eastAsiaTheme="minorEastAsia"/>
          <w:sz w:val="24"/>
        </w:rPr>
        <w:t>，</w:t>
      </w:r>
      <w:r>
        <w:rPr>
          <w:rFonts w:hint="eastAsia" w:asciiTheme="minorEastAsia" w:hAnsiTheme="minorEastAsia" w:eastAsiaTheme="minorEastAsia"/>
          <w:sz w:val="24"/>
        </w:rPr>
        <w:t>学生深受行业企业和高校好评。毕业生</w:t>
      </w:r>
      <w:r>
        <w:rPr>
          <w:rFonts w:asciiTheme="minorEastAsia" w:hAnsiTheme="minorEastAsia" w:eastAsiaTheme="minorEastAsia"/>
          <w:sz w:val="24"/>
        </w:rPr>
        <w:t>满</w:t>
      </w:r>
      <w:r>
        <w:rPr>
          <w:rFonts w:hint="eastAsia" w:asciiTheme="minorEastAsia" w:hAnsiTheme="minorEastAsia" w:eastAsiaTheme="minorEastAsia"/>
          <w:sz w:val="24"/>
        </w:rPr>
        <w:t>意</w:t>
      </w:r>
      <w:r>
        <w:rPr>
          <w:rFonts w:asciiTheme="minorEastAsia" w:hAnsiTheme="minorEastAsia" w:eastAsiaTheme="minorEastAsia"/>
          <w:sz w:val="24"/>
        </w:rPr>
        <w:t>度调查中满意率达</w:t>
      </w:r>
      <w:r>
        <w:rPr>
          <w:rFonts w:hint="eastAsia" w:asciiTheme="minorEastAsia" w:hAnsiTheme="minorEastAsia" w:eastAsiaTheme="minorEastAsia"/>
          <w:sz w:val="24"/>
        </w:rPr>
        <w:t>9</w:t>
      </w:r>
      <w:r>
        <w:rPr>
          <w:rFonts w:asciiTheme="minorEastAsia" w:hAnsiTheme="minorEastAsia" w:eastAsiaTheme="minorEastAsia"/>
          <w:sz w:val="24"/>
        </w:rPr>
        <w:t>9</w:t>
      </w:r>
      <w:r>
        <w:rPr>
          <w:rFonts w:hint="eastAsia" w:asciiTheme="minorEastAsia" w:hAnsiTheme="minorEastAsia" w:eastAsiaTheme="minorEastAsia"/>
          <w:sz w:val="24"/>
        </w:rPr>
        <w:t>.2</w:t>
      </w:r>
      <w:r>
        <w:rPr>
          <w:rFonts w:asciiTheme="minorEastAsia" w:hAnsiTheme="minorEastAsia" w:eastAsiaTheme="minorEastAsia"/>
          <w:sz w:val="24"/>
        </w:rPr>
        <w:t>6</w:t>
      </w:r>
      <w:r>
        <w:rPr>
          <w:rFonts w:hint="eastAsia" w:asciiTheme="minorEastAsia" w:hAnsiTheme="minorEastAsia" w:eastAsiaTheme="minorEastAsia"/>
          <w:sz w:val="24"/>
        </w:rPr>
        <w:t>%；升入高校学生综合素养好，专业技能扎实，受到</w:t>
      </w:r>
      <w:bookmarkStart w:id="68" w:name="_Toc433043218"/>
      <w:bookmarkStart w:id="69" w:name="_Toc433043579"/>
      <w:r>
        <w:rPr>
          <w:rFonts w:hint="eastAsia" w:asciiTheme="minorEastAsia" w:hAnsiTheme="minorEastAsia" w:eastAsiaTheme="minorEastAsia"/>
          <w:sz w:val="24"/>
        </w:rPr>
        <w:t xml:space="preserve">各高校的好评。 </w:t>
      </w:r>
    </w:p>
    <w:bookmarkEnd w:id="68"/>
    <w:bookmarkEnd w:id="69"/>
    <w:p>
      <w:pPr>
        <w:pStyle w:val="3"/>
        <w:keepNext w:val="0"/>
        <w:keepLines w:val="0"/>
        <w:adjustRightInd w:val="0"/>
        <w:snapToGrid w:val="0"/>
        <w:spacing w:line="360" w:lineRule="auto"/>
        <w:ind w:firstLine="560" w:firstLineChars="200"/>
        <w:rPr>
          <w:b w:val="0"/>
          <w:sz w:val="28"/>
          <w:szCs w:val="28"/>
        </w:rPr>
      </w:pPr>
      <w:r>
        <w:rPr>
          <w:rFonts w:hint="eastAsia"/>
          <w:b w:val="0"/>
          <w:sz w:val="28"/>
          <w:szCs w:val="28"/>
        </w:rPr>
        <w:t>5.2社会服务</w:t>
      </w:r>
      <w:bookmarkEnd w:id="66"/>
      <w:bookmarkEnd w:id="67"/>
      <w:bookmarkStart w:id="70" w:name="_Toc5063"/>
    </w:p>
    <w:bookmarkEnd w:id="70"/>
    <w:p>
      <w:pPr>
        <w:pStyle w:val="3"/>
        <w:keepNext w:val="0"/>
        <w:keepLines w:val="0"/>
        <w:adjustRightInd w:val="0"/>
        <w:snapToGrid w:val="0"/>
        <w:spacing w:line="360" w:lineRule="auto"/>
        <w:ind w:firstLine="480" w:firstLineChars="200"/>
        <w:rPr>
          <w:rFonts w:asciiTheme="minorEastAsia" w:hAnsiTheme="minorEastAsia" w:eastAsiaTheme="minorEastAsia"/>
          <w:b w:val="0"/>
          <w:sz w:val="24"/>
        </w:rPr>
      </w:pPr>
      <w:bookmarkStart w:id="71" w:name="_Toc471905953"/>
      <w:bookmarkStart w:id="72" w:name="_Toc471905476"/>
      <w:bookmarkStart w:id="73" w:name="_Toc471905954"/>
      <w:r>
        <w:rPr>
          <w:rFonts w:hint="eastAsia" w:asciiTheme="minorEastAsia" w:hAnsiTheme="minorEastAsia" w:eastAsiaTheme="minorEastAsia"/>
          <w:b w:val="0"/>
          <w:sz w:val="24"/>
        </w:rPr>
        <w:t>继续坚持开放办学，主动搭建各类培训平台。目前建有浙江省护理人才培养基地海宁分基地、海宁市卫生培训中心、海宁市养老服务护理人才培训基地、海宁市人社局职业技能鉴定站和海宁市红十字应急救护培训基地等社会培训服务平台，学校是海宁市健康教育协会理事长单位，充分利用专业教学资源和优质师资力量，为地方医疗卫生单位职工提供学历提升平台，培养综合性卫生健康人才。</w:t>
      </w:r>
    </w:p>
    <w:p>
      <w:pPr>
        <w:pStyle w:val="3"/>
        <w:keepNext w:val="0"/>
        <w:keepLines w:val="0"/>
        <w:adjustRightInd w:val="0"/>
        <w:snapToGrid w:val="0"/>
        <w:spacing w:line="360" w:lineRule="auto"/>
        <w:ind w:firstLine="480" w:firstLineChars="200"/>
        <w:rPr>
          <w:rFonts w:asciiTheme="minorEastAsia" w:hAnsiTheme="minorEastAsia" w:eastAsiaTheme="minorEastAsia"/>
          <w:b w:val="0"/>
          <w:sz w:val="24"/>
        </w:rPr>
      </w:pPr>
      <w:r>
        <w:rPr>
          <w:rFonts w:hint="eastAsia" w:asciiTheme="minorEastAsia" w:hAnsiTheme="minorEastAsia" w:eastAsiaTheme="minorEastAsia"/>
          <w:b w:val="0"/>
          <w:sz w:val="24"/>
        </w:rPr>
        <w:t>2019年度，学校与温州医科大学、绍兴文理学院、杭州医学院、嘉兴教育学院等高校合作，开展成人高等学历教育1180人；在嘉兴、卫健委、海宁卫健局的指导下，开展行业岗位培训，主要有乡村医生注册培训、执业医师考前辅导等，共计654人；开展育婴员培训考证、养老护理员培训、普高职业教育课程培训、红十字救护员培训等社会</w:t>
      </w:r>
      <w:r>
        <w:rPr>
          <w:rFonts w:asciiTheme="minorEastAsia" w:hAnsiTheme="minorEastAsia" w:eastAsiaTheme="minorEastAsia"/>
          <w:b w:val="0"/>
          <w:sz w:val="24"/>
        </w:rPr>
        <w:t>培训</w:t>
      </w:r>
      <w:r>
        <w:rPr>
          <w:rFonts w:hint="eastAsia" w:asciiTheme="minorEastAsia" w:hAnsiTheme="minorEastAsia" w:eastAsiaTheme="minorEastAsia"/>
          <w:b w:val="0"/>
          <w:sz w:val="24"/>
        </w:rPr>
        <w:t>，共计4666人</w:t>
      </w:r>
      <w:bookmarkEnd w:id="71"/>
      <w:bookmarkEnd w:id="72"/>
      <w:r>
        <w:rPr>
          <w:rFonts w:hint="eastAsia" w:asciiTheme="minorEastAsia" w:hAnsiTheme="minorEastAsia" w:eastAsiaTheme="minorEastAsia"/>
          <w:b w:val="0"/>
          <w:sz w:val="24"/>
        </w:rPr>
        <w:t>。</w:t>
      </w:r>
      <w:r>
        <w:rPr>
          <w:rFonts w:asciiTheme="minorEastAsia" w:hAnsiTheme="minorEastAsia" w:eastAsiaTheme="minorEastAsia"/>
          <w:b w:val="0"/>
          <w:sz w:val="24"/>
        </w:rPr>
        <w:t xml:space="preserve"> </w:t>
      </w:r>
    </w:p>
    <w:p>
      <w:pPr>
        <w:pStyle w:val="3"/>
        <w:keepNext w:val="0"/>
        <w:keepLines w:val="0"/>
        <w:adjustRightInd w:val="0"/>
        <w:snapToGrid w:val="0"/>
        <w:spacing w:line="360" w:lineRule="auto"/>
        <w:ind w:firstLine="560" w:firstLineChars="200"/>
        <w:rPr>
          <w:b w:val="0"/>
          <w:sz w:val="28"/>
          <w:szCs w:val="28"/>
        </w:rPr>
      </w:pPr>
      <w:r>
        <w:rPr>
          <w:rFonts w:hint="eastAsia"/>
          <w:b w:val="0"/>
          <w:sz w:val="28"/>
          <w:szCs w:val="28"/>
        </w:rPr>
        <w:t>5.3对口支援</w:t>
      </w:r>
      <w:bookmarkEnd w:id="73"/>
    </w:p>
    <w:p>
      <w:pPr>
        <w:widowControl/>
        <w:snapToGrid w:val="0"/>
        <w:spacing w:line="360" w:lineRule="auto"/>
        <w:ind w:firstLine="480" w:firstLineChars="200"/>
        <w:jc w:val="left"/>
        <w:outlineLvl w:val="2"/>
        <w:rPr>
          <w:rFonts w:ascii="Verdana" w:hAnsi="Verdana" w:cs="宋体"/>
          <w:color w:val="C00000"/>
          <w:kern w:val="0"/>
          <w:sz w:val="24"/>
          <w:szCs w:val="22"/>
        </w:rPr>
      </w:pPr>
      <w:bookmarkStart w:id="74" w:name="_Toc467049637"/>
      <w:bookmarkStart w:id="75" w:name="_Toc471905955"/>
      <w:bookmarkStart w:id="76" w:name="_Toc471905956"/>
      <w:bookmarkStart w:id="77" w:name="_Toc31333"/>
      <w:r>
        <w:rPr>
          <w:rFonts w:hint="eastAsia" w:ascii="宋体" w:hAnsi="宋体" w:cs="宋体"/>
          <w:kern w:val="0"/>
          <w:sz w:val="24"/>
          <w:szCs w:val="22"/>
        </w:rPr>
        <w:t>2019年，学校积极推进落实职业教育东西协作行动计划，与那曲市中等职业学校签订《行动计划协议书》；根据《浙江省关于做好第三批中等职业教育重点扶植薄弱学校教师培训交流工作》（浙教师函〔2019〕1号），与温岭市职业中等专业学校结对，并互派骨干教师做好交流学习工作，共接待省内外同类兄弟学校到校考察学习10多批次</w:t>
      </w:r>
      <w:bookmarkEnd w:id="74"/>
      <w:bookmarkStart w:id="78" w:name="_Toc467049638"/>
      <w:r>
        <w:rPr>
          <w:rFonts w:hint="eastAsia" w:ascii="宋体" w:hAnsi="宋体" w:cs="宋体"/>
          <w:kern w:val="0"/>
          <w:sz w:val="24"/>
          <w:szCs w:val="22"/>
        </w:rPr>
        <w:t>。作为省内卫生类中职学校中第一所省改革发展示范校建设学校，充分发挥省中职医护中心教研大组理事长学校作用，开展全省中职卫生类名</w:t>
      </w:r>
      <w:r>
        <w:rPr>
          <w:rFonts w:ascii="宋体" w:hAnsi="宋体" w:cs="宋体"/>
          <w:kern w:val="0"/>
          <w:sz w:val="24"/>
          <w:szCs w:val="22"/>
        </w:rPr>
        <w:t>师</w:t>
      </w:r>
      <w:r>
        <w:rPr>
          <w:rFonts w:hint="eastAsia" w:ascii="宋体" w:hAnsi="宋体" w:cs="宋体"/>
          <w:kern w:val="0"/>
          <w:sz w:val="24"/>
          <w:szCs w:val="22"/>
        </w:rPr>
        <w:t>、</w:t>
      </w:r>
      <w:r>
        <w:rPr>
          <w:rFonts w:ascii="宋体" w:hAnsi="宋体" w:cs="宋体"/>
          <w:kern w:val="0"/>
          <w:sz w:val="24"/>
          <w:szCs w:val="22"/>
        </w:rPr>
        <w:t>名专业</w:t>
      </w:r>
      <w:r>
        <w:rPr>
          <w:rFonts w:hint="eastAsia" w:ascii="宋体" w:hAnsi="宋体" w:cs="宋体"/>
          <w:kern w:val="0"/>
          <w:sz w:val="24"/>
          <w:szCs w:val="22"/>
        </w:rPr>
        <w:t>建设、选择性课改、师生技能竞赛等教育教学工作交流，发挥了良好的引领和带动作用。</w:t>
      </w:r>
      <w:bookmarkEnd w:id="78"/>
      <w:r>
        <w:rPr>
          <w:rFonts w:hint="eastAsia" w:ascii="宋体" w:hAnsi="宋体" w:cs="宋体"/>
          <w:kern w:val="0"/>
          <w:sz w:val="24"/>
          <w:szCs w:val="22"/>
        </w:rPr>
        <w:t>积极承担海宁市教育系统学校职业技能课的教学任务，积极参与海宁市心理健康、</w:t>
      </w:r>
      <w:r>
        <w:rPr>
          <w:rFonts w:ascii="宋体" w:hAnsi="宋体" w:cs="宋体"/>
          <w:kern w:val="0"/>
          <w:sz w:val="24"/>
          <w:szCs w:val="22"/>
        </w:rPr>
        <w:t>老年</w:t>
      </w:r>
      <w:r>
        <w:rPr>
          <w:rFonts w:hint="eastAsia" w:ascii="宋体" w:hAnsi="宋体" w:cs="宋体"/>
          <w:kern w:val="0"/>
          <w:sz w:val="24"/>
          <w:szCs w:val="22"/>
        </w:rPr>
        <w:t>健康</w:t>
      </w:r>
      <w:r>
        <w:rPr>
          <w:rFonts w:ascii="宋体" w:hAnsi="宋体" w:cs="宋体"/>
          <w:kern w:val="0"/>
          <w:sz w:val="24"/>
          <w:szCs w:val="22"/>
        </w:rPr>
        <w:t>服务</w:t>
      </w:r>
      <w:r>
        <w:rPr>
          <w:rFonts w:hint="eastAsia" w:ascii="宋体" w:hAnsi="宋体" w:cs="宋体"/>
          <w:kern w:val="0"/>
          <w:sz w:val="24"/>
          <w:szCs w:val="22"/>
        </w:rPr>
        <w:t>讲师团工作，主动为海宁技工学校、海宁一中新疆部、海宁紫微高级中学</w:t>
      </w:r>
      <w:r>
        <w:rPr>
          <w:rFonts w:hint="eastAsia" w:ascii="Verdana" w:hAnsi="Verdana" w:cs="宋体"/>
          <w:kern w:val="0"/>
          <w:sz w:val="24"/>
          <w:szCs w:val="22"/>
        </w:rPr>
        <w:t>等开设《安全用药》、《医护急救》等职业技能课程和心理健康讲座，</w:t>
      </w:r>
      <w:r>
        <w:rPr>
          <w:rFonts w:hint="eastAsia" w:ascii="宋体" w:hAnsi="宋体"/>
          <w:sz w:val="24"/>
        </w:rPr>
        <w:t>提高了高中段学生对卫生类专业的认识，助推普通高中课程改革。</w:t>
      </w:r>
      <w:bookmarkEnd w:id="75"/>
    </w:p>
    <w:p>
      <w:pPr>
        <w:pStyle w:val="2"/>
        <w:keepNext w:val="0"/>
        <w:keepLines w:val="0"/>
        <w:adjustRightInd w:val="0"/>
        <w:snapToGrid w:val="0"/>
        <w:spacing w:before="156" w:beforeLines="50" w:line="360" w:lineRule="auto"/>
        <w:ind w:firstLine="452" w:firstLineChars="150"/>
        <w:rPr>
          <w:rFonts w:ascii="黑体" w:hAnsi="黑体" w:eastAsia="黑体" w:cs="黑体"/>
          <w:sz w:val="30"/>
          <w:szCs w:val="30"/>
        </w:rPr>
      </w:pPr>
      <w:r>
        <w:rPr>
          <w:rFonts w:hint="eastAsia" w:ascii="黑体" w:hAnsi="黑体" w:eastAsia="黑体" w:cs="黑体"/>
          <w:sz w:val="30"/>
          <w:szCs w:val="30"/>
        </w:rPr>
        <w:t>6.举办者履责</w:t>
      </w:r>
      <w:bookmarkEnd w:id="76"/>
    </w:p>
    <w:p>
      <w:pPr>
        <w:pStyle w:val="3"/>
        <w:keepNext w:val="0"/>
        <w:keepLines w:val="0"/>
        <w:adjustRightInd w:val="0"/>
        <w:snapToGrid w:val="0"/>
        <w:spacing w:line="360" w:lineRule="auto"/>
        <w:ind w:firstLine="420" w:firstLineChars="150"/>
        <w:rPr>
          <w:b w:val="0"/>
          <w:sz w:val="28"/>
          <w:szCs w:val="28"/>
        </w:rPr>
      </w:pPr>
      <w:bookmarkStart w:id="79" w:name="_Toc471905957"/>
      <w:r>
        <w:rPr>
          <w:rFonts w:hint="eastAsia"/>
          <w:b w:val="0"/>
          <w:sz w:val="28"/>
          <w:szCs w:val="28"/>
        </w:rPr>
        <w:t>6.1经费</w:t>
      </w:r>
      <w:bookmarkEnd w:id="79"/>
    </w:p>
    <w:p>
      <w:pPr>
        <w:pStyle w:val="3"/>
        <w:keepNext w:val="0"/>
        <w:keepLines w:val="0"/>
        <w:adjustRightInd w:val="0"/>
        <w:snapToGrid w:val="0"/>
        <w:spacing w:line="360" w:lineRule="auto"/>
        <w:ind w:firstLine="480" w:firstLineChars="200"/>
        <w:rPr>
          <w:rFonts w:eastAsia="宋体" w:asciiTheme="minorEastAsia" w:hAnsiTheme="minorEastAsia"/>
          <w:b w:val="0"/>
          <w:sz w:val="24"/>
        </w:rPr>
      </w:pPr>
      <w:r>
        <w:rPr>
          <w:rFonts w:ascii="宋体" w:hAnsi="宋体" w:eastAsia="宋体"/>
          <w:b w:val="0"/>
          <w:sz w:val="24"/>
        </w:rPr>
        <w:t>2019</w:t>
      </w:r>
      <w:r>
        <w:rPr>
          <w:rFonts w:hint="eastAsia" w:ascii="宋体" w:hAnsi="宋体" w:eastAsia="宋体"/>
          <w:b w:val="0"/>
          <w:sz w:val="24"/>
        </w:rPr>
        <w:t>年度学校收入3557.21万元，其中：财政补助专项经费（包括生均定额2260元/生）等</w:t>
      </w:r>
      <w:r>
        <w:rPr>
          <w:rFonts w:ascii="宋体" w:hAnsi="宋体" w:eastAsia="宋体"/>
          <w:b w:val="0"/>
          <w:sz w:val="24"/>
        </w:rPr>
        <w:t>1340.24</w:t>
      </w:r>
      <w:r>
        <w:rPr>
          <w:rFonts w:hint="eastAsia" w:ascii="宋体" w:hAnsi="宋体" w:eastAsia="宋体"/>
          <w:b w:val="0"/>
          <w:sz w:val="24"/>
        </w:rPr>
        <w:t>万元，国家助学金、免代收费、营养餐等专项21.37万元，拨入三名工程专项经费</w:t>
      </w:r>
      <w:r>
        <w:rPr>
          <w:rFonts w:ascii="宋体" w:hAnsi="宋体" w:eastAsia="宋体"/>
          <w:b w:val="0"/>
          <w:sz w:val="24"/>
        </w:rPr>
        <w:t>114</w:t>
      </w:r>
      <w:r>
        <w:rPr>
          <w:rFonts w:hint="eastAsia" w:ascii="宋体" w:hAnsi="宋体" w:eastAsia="宋体"/>
          <w:b w:val="0"/>
          <w:sz w:val="24"/>
        </w:rPr>
        <w:t>万元。201</w:t>
      </w:r>
      <w:r>
        <w:rPr>
          <w:rFonts w:ascii="宋体" w:hAnsi="宋体" w:eastAsia="宋体"/>
          <w:b w:val="0"/>
          <w:sz w:val="24"/>
        </w:rPr>
        <w:t>9</w:t>
      </w:r>
      <w:r>
        <w:rPr>
          <w:rFonts w:hint="eastAsia" w:ascii="宋体" w:hAnsi="宋体" w:eastAsia="宋体"/>
          <w:b w:val="0"/>
          <w:sz w:val="24"/>
        </w:rPr>
        <w:t>年事业支出共计4249.33万元，包括工资福利支出、商品和服务支出、个人家庭补助支出、固定资产折旧费等。其中：国家助学金、免代收费、营养餐、三名工程等专项经费实行专款专用。</w:t>
      </w:r>
    </w:p>
    <w:p>
      <w:pPr>
        <w:pStyle w:val="3"/>
        <w:keepNext w:val="0"/>
        <w:keepLines w:val="0"/>
        <w:adjustRightInd w:val="0"/>
        <w:snapToGrid w:val="0"/>
        <w:spacing w:line="360" w:lineRule="auto"/>
        <w:ind w:firstLine="560" w:firstLineChars="200"/>
        <w:rPr>
          <w:b w:val="0"/>
          <w:sz w:val="28"/>
          <w:szCs w:val="28"/>
        </w:rPr>
      </w:pPr>
      <w:bookmarkStart w:id="80" w:name="_Toc471905959"/>
      <w:r>
        <w:rPr>
          <w:rFonts w:hint="eastAsia"/>
          <w:b w:val="0"/>
          <w:sz w:val="28"/>
          <w:szCs w:val="28"/>
        </w:rPr>
        <w:t>6.2政策措施</w:t>
      </w:r>
      <w:bookmarkEnd w:id="80"/>
    </w:p>
    <w:p>
      <w:pPr>
        <w:pStyle w:val="3"/>
        <w:keepNext w:val="0"/>
        <w:keepLines w:val="0"/>
        <w:adjustRightInd w:val="0"/>
        <w:snapToGrid w:val="0"/>
        <w:spacing w:line="360" w:lineRule="auto"/>
        <w:ind w:firstLine="240" w:firstLineChars="100"/>
        <w:rPr>
          <w:rFonts w:asciiTheme="minorEastAsia" w:hAnsiTheme="minorEastAsia" w:eastAsiaTheme="minorEastAsia"/>
          <w:b w:val="0"/>
          <w:sz w:val="24"/>
        </w:rPr>
      </w:pPr>
      <w:r>
        <w:rPr>
          <w:rFonts w:hint="eastAsia" w:asciiTheme="minorEastAsia" w:hAnsiTheme="minorEastAsia" w:eastAsiaTheme="minorEastAsia"/>
          <w:b w:val="0"/>
          <w:sz w:val="24"/>
        </w:rPr>
        <w:t xml:space="preserve">  </w:t>
      </w:r>
      <w:bookmarkStart w:id="81" w:name="_Toc471905960"/>
      <w:bookmarkStart w:id="82" w:name="_Toc471905483"/>
      <w:r>
        <w:rPr>
          <w:rFonts w:hint="eastAsia" w:asciiTheme="minorEastAsia" w:hAnsiTheme="minorEastAsia" w:eastAsiaTheme="minorEastAsia"/>
          <w:b w:val="0"/>
          <w:sz w:val="24"/>
        </w:rPr>
        <w:t>海宁市委市政府重视学校的建设发展，在《海宁市人民政府关于加快发展现代职业教育的实施意见》 中明确提出“优化专业结构调整，做强汽修、财会、数控、烹饪、医药护理等骨干专业”的区域中职专业建设目标。 2019年市政府工作报告明确提出学校异地新建的发展目标。同时全力支持学校自主办学，在学校人才引进，教师编制等方面给予了充分保障，在省“三名工程”项目建设的配套资金、中期验收方面给予全力政策保障和支持。</w:t>
      </w:r>
      <w:bookmarkEnd w:id="81"/>
      <w:bookmarkEnd w:id="82"/>
    </w:p>
    <w:p>
      <w:pPr>
        <w:pStyle w:val="2"/>
        <w:keepNext w:val="0"/>
        <w:keepLines w:val="0"/>
        <w:adjustRightInd w:val="0"/>
        <w:snapToGrid w:val="0"/>
        <w:spacing w:before="156" w:beforeLines="50" w:line="360" w:lineRule="auto"/>
        <w:ind w:firstLine="602" w:firstLineChars="200"/>
        <w:rPr>
          <w:rFonts w:ascii="黑体" w:hAnsi="黑体" w:eastAsia="黑体" w:cs="黑体"/>
          <w:sz w:val="30"/>
          <w:szCs w:val="30"/>
        </w:rPr>
      </w:pPr>
      <w:bookmarkStart w:id="83" w:name="_Toc471905961"/>
      <w:r>
        <w:rPr>
          <w:rFonts w:hint="eastAsia" w:ascii="黑体" w:hAnsi="黑体" w:eastAsia="黑体" w:cs="黑体"/>
          <w:sz w:val="30"/>
          <w:szCs w:val="30"/>
        </w:rPr>
        <w:t>7.特色创新</w:t>
      </w:r>
      <w:bookmarkEnd w:id="77"/>
      <w:bookmarkEnd w:id="83"/>
    </w:p>
    <w:p>
      <w:pPr>
        <w:spacing w:line="360" w:lineRule="auto"/>
        <w:ind w:firstLine="482" w:firstLineChars="200"/>
        <w:rPr>
          <w:b/>
          <w:sz w:val="24"/>
        </w:rPr>
      </w:pPr>
      <w:bookmarkStart w:id="84" w:name="_Toc433043227"/>
      <w:bookmarkStart w:id="85" w:name="_Toc9206"/>
      <w:bookmarkStart w:id="86" w:name="_Toc433043588"/>
      <w:bookmarkStart w:id="87" w:name="_Toc32183"/>
      <w:r>
        <w:rPr>
          <w:rFonts w:hint="eastAsia"/>
          <w:b/>
          <w:sz w:val="24"/>
        </w:rPr>
        <w:t>典型案例一：走进高校之“象牙塔”初体验</w:t>
      </w:r>
    </w:p>
    <w:p>
      <w:pPr>
        <w:spacing w:line="360" w:lineRule="auto"/>
        <w:ind w:firstLine="480" w:firstLineChars="200"/>
        <w:rPr>
          <w:sz w:val="24"/>
        </w:rPr>
      </w:pPr>
      <w:r>
        <w:rPr>
          <w:rFonts w:hint="eastAsia"/>
          <w:sz w:val="24"/>
        </w:rPr>
        <w:t>2019年度，海宁卫生学校护理专业“中本一体”、“中高职一体”、药学专业“中高职一体”共300多位同学相继走进嘉兴学院、衢州职业技术学院、宁波卫生职业技术学院、浙江医药高等专科学校开展“走进高校之象牙塔”初体验参观交流活动。海宁卫生学校作为浙江省首批“中本一体”试点中职学校，与嘉兴学院合作培养高素质高技能的应用型护理人才，打通中等职业学校与高等本科院校的升学渠道，深受考生及家长的欢迎。其他高职院校也与我校一起开展中高职一体人才培养，打通升学渠道。此次走进高校研学活动，受到各高等院校的热情接待，研学主要分为四个议程</w:t>
      </w:r>
    </w:p>
    <w:p>
      <w:pPr>
        <w:spacing w:line="360" w:lineRule="auto"/>
        <w:ind w:firstLine="480" w:firstLineChars="200"/>
        <w:rPr>
          <w:sz w:val="24"/>
        </w:rPr>
      </w:pPr>
      <w:r>
        <w:rPr>
          <w:rFonts w:hint="eastAsia"/>
          <w:sz w:val="24"/>
        </w:rPr>
        <w:t>1.</w:t>
      </w:r>
      <w:r>
        <w:rPr>
          <w:rFonts w:hint="eastAsia"/>
        </w:rPr>
        <w:t xml:space="preserve"> </w:t>
      </w:r>
      <w:r>
        <w:rPr>
          <w:rFonts w:hint="eastAsia"/>
          <w:sz w:val="24"/>
        </w:rPr>
        <w:t>师生听取讲座</w:t>
      </w:r>
    </w:p>
    <w:p>
      <w:pPr>
        <w:spacing w:line="360" w:lineRule="auto"/>
        <w:ind w:firstLine="480" w:firstLineChars="200"/>
        <w:rPr>
          <w:sz w:val="24"/>
        </w:rPr>
      </w:pPr>
      <w:r>
        <w:rPr>
          <w:rFonts w:hint="eastAsia"/>
          <w:sz w:val="24"/>
        </w:rPr>
        <w:t>高等院校领导向同学们介绍了学院的历史与发展概况，学生们还认真聆高校老师对学校的专业建设、课程体系、教学计划与创新以及今后的人才培养方向等方面的引领讲座，使全体同学对大学学习有了一个初步直观的印象，同时高校老师对全体同学提出了日常学习的建议与今后的人生规划。</w:t>
      </w:r>
    </w:p>
    <w:p>
      <w:pPr>
        <w:spacing w:line="360" w:lineRule="auto"/>
        <w:ind w:firstLine="480" w:firstLineChars="200"/>
        <w:rPr>
          <w:sz w:val="24"/>
        </w:rPr>
      </w:pPr>
      <w:r>
        <w:rPr>
          <w:rFonts w:hint="eastAsia"/>
          <w:sz w:val="24"/>
        </w:rPr>
        <w:t>2．体验实训课堂与参观医学实验中心</w:t>
      </w:r>
    </w:p>
    <w:p>
      <w:pPr>
        <w:spacing w:line="360" w:lineRule="auto"/>
        <w:ind w:firstLine="480" w:firstLineChars="200"/>
        <w:rPr>
          <w:sz w:val="24"/>
        </w:rPr>
      </w:pPr>
      <w:r>
        <w:rPr>
          <w:rFonts w:hint="eastAsia"/>
          <w:sz w:val="24"/>
        </w:rPr>
        <w:t>在实训老师的带领与讲解下，学生们认真体验了高校的实训课堂，体验高科技元素与信息化在课堂中的应用，领略更强的理实一体的教学效果，在嘉兴学院医学实验中心里，学生们第一次见到了法医实验室，了解了它的功能与作用；认真地参观了中药标本馆，对各种珍贵的中药材也充满着浓厚的兴趣。</w:t>
      </w:r>
    </w:p>
    <w:p>
      <w:pPr>
        <w:spacing w:line="360" w:lineRule="auto"/>
        <w:ind w:firstLine="480" w:firstLineChars="200"/>
        <w:rPr>
          <w:sz w:val="24"/>
        </w:rPr>
      </w:pPr>
      <w:r>
        <w:rPr>
          <w:rFonts w:hint="eastAsia"/>
          <w:sz w:val="24"/>
        </w:rPr>
        <w:t>3．学长学姐面对面</w:t>
      </w:r>
    </w:p>
    <w:p>
      <w:pPr>
        <w:spacing w:line="360" w:lineRule="auto"/>
        <w:ind w:firstLine="480" w:firstLineChars="200"/>
        <w:rPr>
          <w:sz w:val="24"/>
        </w:rPr>
      </w:pPr>
      <w:r>
        <w:rPr>
          <w:rFonts w:hint="eastAsia"/>
          <w:sz w:val="24"/>
        </w:rPr>
        <w:t>与学长学姐们的面对面交流，更真实地了解大学生活，同学们一个个流露出羡慕与向往的眼神，恨不得马上能够进入到大学学习生活。学长学姐们耐心细致地解答了同学们的各种疑问，传授他们学习的方法，特别强调英语学科的重要性，无论是大学本科毕业的需要，亦或是今后走上工作岗位的择优选择，英语都占有重要的地位。学长学姐们鼓励同学们要立足远大理想，朝着更高更远的求学与发展方向定好自己的人生目标。</w:t>
      </w:r>
    </w:p>
    <w:p>
      <w:pPr>
        <w:spacing w:line="360" w:lineRule="auto"/>
        <w:ind w:firstLine="480" w:firstLineChars="200"/>
        <w:rPr>
          <w:sz w:val="24"/>
        </w:rPr>
      </w:pPr>
      <w:r>
        <w:rPr>
          <w:rFonts w:hint="eastAsia"/>
          <w:sz w:val="24"/>
        </w:rPr>
        <w:t>4．中本一体、中高职一体人才培养方案研讨与教学计划优化的研讨</w:t>
      </w:r>
    </w:p>
    <w:p>
      <w:pPr>
        <w:spacing w:line="360" w:lineRule="auto"/>
        <w:ind w:firstLine="560" w:firstLineChars="200"/>
        <w:rPr>
          <w:sz w:val="24"/>
        </w:rPr>
      </w:pPr>
      <w:r>
        <w:rPr>
          <w:sz w:val="28"/>
          <w:szCs w:val="28"/>
        </w:rPr>
        <w:drawing>
          <wp:anchor distT="0" distB="0" distL="114300" distR="114300" simplePos="0" relativeHeight="251667456" behindDoc="1" locked="0" layoutInCell="1" allowOverlap="1">
            <wp:simplePos x="0" y="0"/>
            <wp:positionH relativeFrom="column">
              <wp:posOffset>4194175</wp:posOffset>
            </wp:positionH>
            <wp:positionV relativeFrom="paragraph">
              <wp:posOffset>1876425</wp:posOffset>
            </wp:positionV>
            <wp:extent cx="2006600" cy="1504950"/>
            <wp:effectExtent l="0" t="0" r="12700" b="0"/>
            <wp:wrapTight wrapText="bothSides">
              <wp:wrapPolygon>
                <wp:start x="0" y="0"/>
                <wp:lineTo x="0" y="21327"/>
                <wp:lineTo x="21327" y="21327"/>
                <wp:lineTo x="21327" y="0"/>
                <wp:lineTo x="0" y="0"/>
              </wp:wrapPolygon>
            </wp:wrapTight>
            <wp:docPr id="9" name="图片 9" descr="D:\Program Files\QQ\Users\21121501\FileRecv\MobileFile\mmexport1576749697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Program Files\QQ\Users\21121501\FileRecv\MobileFile\mmexport157674969784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06600" cy="1504950"/>
                    </a:xfrm>
                    <a:prstGeom prst="rect">
                      <a:avLst/>
                    </a:prstGeom>
                    <a:noFill/>
                    <a:ln>
                      <a:noFill/>
                    </a:ln>
                  </pic:spPr>
                </pic:pic>
              </a:graphicData>
            </a:graphic>
          </wp:anchor>
        </w:drawing>
      </w:r>
      <w:r>
        <w:rPr>
          <w:sz w:val="28"/>
          <w:szCs w:val="28"/>
        </w:rPr>
        <w:drawing>
          <wp:anchor distT="0" distB="0" distL="114300" distR="114300" simplePos="0" relativeHeight="251666432" behindDoc="1" locked="0" layoutInCell="1" allowOverlap="1">
            <wp:simplePos x="0" y="0"/>
            <wp:positionH relativeFrom="column">
              <wp:posOffset>2066925</wp:posOffset>
            </wp:positionH>
            <wp:positionV relativeFrom="paragraph">
              <wp:posOffset>1876425</wp:posOffset>
            </wp:positionV>
            <wp:extent cx="2057400" cy="1543050"/>
            <wp:effectExtent l="0" t="0" r="0" b="0"/>
            <wp:wrapTight wrapText="bothSides">
              <wp:wrapPolygon>
                <wp:start x="0" y="0"/>
                <wp:lineTo x="0" y="21333"/>
                <wp:lineTo x="21400" y="21333"/>
                <wp:lineTo x="21400" y="0"/>
                <wp:lineTo x="0" y="0"/>
              </wp:wrapPolygon>
            </wp:wrapTight>
            <wp:docPr id="10" name="图片 10" descr="D:\Program Files\QQ\Users\21121501\FileRecv\MobileFile\IMG_20191219_143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Program Files\QQ\Users\21121501\FileRecv\MobileFile\IMG_20191219_1435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57400" cy="1543050"/>
                    </a:xfrm>
                    <a:prstGeom prst="rect">
                      <a:avLst/>
                    </a:prstGeom>
                    <a:noFill/>
                    <a:ln>
                      <a:noFill/>
                    </a:ln>
                  </pic:spPr>
                </pic:pic>
              </a:graphicData>
            </a:graphic>
          </wp:anchor>
        </w:drawing>
      </w:r>
      <w:r>
        <w:rPr>
          <w:sz w:val="28"/>
          <w:szCs w:val="28"/>
        </w:rPr>
        <w:drawing>
          <wp:anchor distT="0" distB="0" distL="114300" distR="114300" simplePos="0" relativeHeight="251664384" behindDoc="1" locked="0" layoutInCell="1" allowOverlap="1">
            <wp:simplePos x="0" y="0"/>
            <wp:positionH relativeFrom="column">
              <wp:posOffset>0</wp:posOffset>
            </wp:positionH>
            <wp:positionV relativeFrom="paragraph">
              <wp:posOffset>1876425</wp:posOffset>
            </wp:positionV>
            <wp:extent cx="2066925" cy="1550035"/>
            <wp:effectExtent l="0" t="0" r="9525" b="12065"/>
            <wp:wrapTight wrapText="bothSides">
              <wp:wrapPolygon>
                <wp:start x="0" y="0"/>
                <wp:lineTo x="0" y="21237"/>
                <wp:lineTo x="21500" y="21237"/>
                <wp:lineTo x="21500" y="0"/>
                <wp:lineTo x="0" y="0"/>
              </wp:wrapPolygon>
            </wp:wrapTight>
            <wp:docPr id="11" name="图片 11" descr="D:\Program Files\QQ\Users\21121501\FileRecv\MobileFile\IMG_20191219_14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Program Files\QQ\Users\21121501\FileRecv\MobileFile\IMG_20191219_14041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66925" cy="1550035"/>
                    </a:xfrm>
                    <a:prstGeom prst="rect">
                      <a:avLst/>
                    </a:prstGeom>
                    <a:noFill/>
                    <a:ln>
                      <a:noFill/>
                    </a:ln>
                  </pic:spPr>
                </pic:pic>
              </a:graphicData>
            </a:graphic>
          </wp:anchor>
        </w:drawing>
      </w:r>
      <w:r>
        <w:rPr>
          <w:rFonts w:hint="eastAsia"/>
          <w:sz w:val="24"/>
        </w:rPr>
        <w:t>在研讨会上，分别与嘉兴学院医学院就中本一体化人才培养方案上又作了深入的探讨。尤其是在中职与本科的充分衔接，双方都从“以生为本”的理念出发，为学生量身定制，优化教学方案。同时还邀请嘉兴学院的专家和教授不定期地来我校给孩子们讲学，以促进学生们的大学成长愿望和人生规划，真正做到未来可期；与其他高职学院也分别对1+X老年照护考证、遴选方案改革等方面进行学习交流，使中高职一体充分流通。各合作高校也将是海卫学子梦想启航的又一个港湾，我们必将为他们掌好舵，使他们不偏不倚地朝着这盏明灯破浪前行。</w:t>
      </w:r>
    </w:p>
    <w:p>
      <w:pPr>
        <w:rPr>
          <w:sz w:val="24"/>
        </w:rPr>
      </w:pPr>
    </w:p>
    <w:bookmarkEnd w:id="84"/>
    <w:bookmarkEnd w:id="85"/>
    <w:bookmarkEnd w:id="86"/>
    <w:p>
      <w:pPr>
        <w:spacing w:before="156" w:beforeLines="50" w:line="360" w:lineRule="auto"/>
        <w:jc w:val="left"/>
        <w:rPr>
          <w:b/>
          <w:sz w:val="24"/>
        </w:rPr>
      </w:pPr>
      <w:bookmarkStart w:id="88" w:name="_Toc471905964"/>
      <w:r>
        <w:rPr>
          <w:rFonts w:ascii="Times New Roman" w:hAnsi="Times New Roman" w:eastAsia="Times New Roman"/>
          <w:snapToGrid w:val="0"/>
          <w:color w:val="000000"/>
          <w:w w:val="0"/>
          <w:kern w:val="0"/>
          <w:sz w:val="0"/>
          <w:szCs w:val="0"/>
          <w:u w:color="000000"/>
          <w:shd w:val="clear" w:color="000000" w:fill="000000"/>
          <w:lang w:val="zh-CN" w:bidi="zh-CN"/>
        </w:rPr>
        <w:t xml:space="preserve"> </w:t>
      </w:r>
      <w:r>
        <w:rPr>
          <w:rFonts w:hint="eastAsia" w:ascii="宋体" w:hAnsi="宋体" w:cs="宋体"/>
          <w:b/>
          <w:kern w:val="0"/>
          <w:sz w:val="24"/>
        </w:rPr>
        <w:t>典型案例二：</w:t>
      </w:r>
      <w:r>
        <w:rPr>
          <w:rFonts w:hint="eastAsia"/>
          <w:b/>
          <w:sz w:val="24"/>
        </w:rPr>
        <w:t>健康服务之“海卫模板”</w:t>
      </w:r>
    </w:p>
    <w:p>
      <w:pPr>
        <w:widowControl/>
        <w:spacing w:line="360" w:lineRule="auto"/>
        <w:ind w:firstLine="480" w:firstLineChars="200"/>
        <w:jc w:val="left"/>
        <w:rPr>
          <w:rFonts w:ascii="宋体" w:hAnsi="宋体"/>
          <w:sz w:val="24"/>
        </w:rPr>
      </w:pPr>
      <w:r>
        <w:rPr>
          <w:rFonts w:hint="eastAsia" w:ascii="宋体" w:hAnsi="宋体"/>
          <w:sz w:val="24"/>
        </w:rPr>
        <w:t>在我国老龄化社会日渐加速的进程中，学校充分发挥既有优势，争取中央和各级政府的支持，2019年成为实施首批教育部1+X老年照护试点院校，并在试点推行中主动作为，克服困难，梳理出可行性方案。</w:t>
      </w:r>
    </w:p>
    <w:p>
      <w:pPr>
        <w:spacing w:line="480" w:lineRule="exact"/>
        <w:ind w:firstLine="597" w:firstLineChars="249"/>
        <w:rPr>
          <w:rFonts w:ascii="宋体" w:hAnsi="宋体"/>
          <w:sz w:val="24"/>
        </w:rPr>
      </w:pPr>
      <w:r>
        <w:rPr>
          <w:rFonts w:hint="eastAsia" w:ascii="宋体" w:hAnsi="宋体"/>
          <w:sz w:val="24"/>
        </w:rPr>
        <w:t>“1+X”试点工</w:t>
      </w:r>
      <w:r>
        <w:rPr>
          <w:rFonts w:ascii="宋体" w:hAnsi="宋体"/>
          <w:sz w:val="24"/>
        </w:rPr>
        <w:t>作</w:t>
      </w:r>
      <w:r>
        <w:rPr>
          <w:rFonts w:hint="eastAsia" w:ascii="宋体" w:hAnsi="宋体"/>
          <w:sz w:val="24"/>
        </w:rPr>
        <w:t>，走在前列：杨慧兰、张海霞二位教师受聘</w:t>
      </w:r>
      <w:r>
        <w:rPr>
          <w:rFonts w:ascii="宋体" w:hAnsi="宋体"/>
          <w:sz w:val="24"/>
        </w:rPr>
        <w:t>参</w:t>
      </w:r>
      <w:r>
        <w:rPr>
          <w:rFonts w:hint="eastAsia" w:ascii="宋体" w:hAnsi="宋体"/>
          <w:sz w:val="24"/>
        </w:rPr>
        <w:t>加老年照</w:t>
      </w:r>
      <w:r>
        <w:rPr>
          <w:rFonts w:ascii="宋体" w:hAnsi="宋体"/>
          <w:sz w:val="24"/>
        </w:rPr>
        <w:t>护</w:t>
      </w:r>
      <w:r>
        <w:rPr>
          <w:rFonts w:hint="eastAsia" w:ascii="宋体" w:hAnsi="宋体"/>
          <w:sz w:val="24"/>
        </w:rPr>
        <w:t>职</w:t>
      </w:r>
      <w:r>
        <w:rPr>
          <w:rFonts w:ascii="宋体" w:hAnsi="宋体"/>
          <w:sz w:val="24"/>
        </w:rPr>
        <w:t>业技能</w:t>
      </w:r>
      <w:r>
        <w:rPr>
          <w:rFonts w:hint="eastAsia" w:ascii="宋体" w:hAnsi="宋体"/>
          <w:sz w:val="24"/>
        </w:rPr>
        <w:t>初级教材</w:t>
      </w:r>
      <w:r>
        <w:rPr>
          <w:rFonts w:ascii="宋体" w:hAnsi="宋体"/>
          <w:sz w:val="24"/>
        </w:rPr>
        <w:t>编</w:t>
      </w:r>
      <w:r>
        <w:rPr>
          <w:rFonts w:hint="eastAsia" w:ascii="宋体" w:hAnsi="宋体"/>
          <w:sz w:val="24"/>
        </w:rPr>
        <w:t>写；第八届国际养老博览会上，学</w:t>
      </w:r>
      <w:r>
        <w:rPr>
          <w:rFonts w:ascii="宋体" w:hAnsi="宋体"/>
          <w:sz w:val="24"/>
        </w:rPr>
        <w:t>校与</w:t>
      </w:r>
      <w:r>
        <w:rPr>
          <w:rFonts w:hint="eastAsia" w:ascii="宋体" w:hAnsi="宋体"/>
          <w:sz w:val="24"/>
        </w:rPr>
        <w:t>中国社会福利与养老服务协会、北京中福长者文化科技有限公司签订了《老年照护人才培养合作框架协议》。</w:t>
      </w:r>
    </w:p>
    <w:p>
      <w:pPr>
        <w:spacing w:line="480" w:lineRule="exact"/>
        <w:ind w:firstLine="597" w:firstLineChars="249"/>
        <w:rPr>
          <w:rFonts w:ascii="宋体" w:hAnsi="宋体"/>
          <w:sz w:val="24"/>
        </w:rPr>
      </w:pPr>
      <w:r>
        <w:rPr>
          <w:rFonts w:hint="eastAsia" w:ascii="宋体" w:hAnsi="宋体"/>
          <w:sz w:val="24"/>
        </w:rPr>
        <w:t>培训研讨，师资先行：学校先后选派8位护理骨干教师参加老年照护师资培训班和老年照护考评员培训班学习，成立1+X老年照护辅导团队，每月召开工作研讨会，组内分享培训学习、课程融入研讨、集体备课统一教学。</w:t>
      </w:r>
    </w:p>
    <w:p>
      <w:pPr>
        <w:spacing w:line="480" w:lineRule="exact"/>
        <w:ind w:firstLine="597" w:firstLineChars="249"/>
        <w:rPr>
          <w:rFonts w:ascii="宋体" w:hAnsi="宋体"/>
          <w:sz w:val="24"/>
        </w:rPr>
      </w:pPr>
      <w:r>
        <w:rPr>
          <w:rFonts w:hint="eastAsia" w:ascii="宋体" w:hAnsi="宋体"/>
          <w:sz w:val="24"/>
        </w:rPr>
        <w:t>教</w:t>
      </w:r>
      <w:r>
        <w:rPr>
          <w:rFonts w:ascii="宋体" w:hAnsi="宋体"/>
          <w:sz w:val="24"/>
        </w:rPr>
        <w:t>学培训，有序推进：考证动员明意义、融入辅导重</w:t>
      </w:r>
      <w:r>
        <w:rPr>
          <w:rFonts w:hint="eastAsia" w:ascii="宋体" w:hAnsi="宋体"/>
          <w:sz w:val="24"/>
        </w:rPr>
        <w:t>基</w:t>
      </w:r>
      <w:r>
        <w:rPr>
          <w:rFonts w:ascii="宋体" w:hAnsi="宋体"/>
          <w:sz w:val="24"/>
        </w:rPr>
        <w:t>础、冲</w:t>
      </w:r>
      <w:r>
        <w:rPr>
          <w:rFonts w:hint="eastAsia" w:ascii="宋体" w:hAnsi="宋体"/>
          <w:sz w:val="24"/>
        </w:rPr>
        <w:t>刺</w:t>
      </w:r>
      <w:r>
        <w:rPr>
          <w:rFonts w:ascii="宋体" w:hAnsi="宋体"/>
          <w:sz w:val="24"/>
        </w:rPr>
        <w:t>辅导强技能</w:t>
      </w:r>
      <w:r>
        <w:rPr>
          <w:rFonts w:hint="eastAsia" w:ascii="宋体" w:hAnsi="宋体"/>
          <w:sz w:val="24"/>
        </w:rPr>
        <w:t>，扎</w:t>
      </w:r>
      <w:r>
        <w:rPr>
          <w:rFonts w:ascii="宋体" w:hAnsi="宋体"/>
          <w:sz w:val="24"/>
        </w:rPr>
        <w:t>实有效</w:t>
      </w:r>
      <w:r>
        <w:rPr>
          <w:rFonts w:hint="eastAsia" w:ascii="宋体" w:hAnsi="宋体"/>
          <w:sz w:val="24"/>
        </w:rPr>
        <w:t>。学校已经开展了18级151位护</w:t>
      </w:r>
      <w:r>
        <w:rPr>
          <w:rFonts w:ascii="宋体" w:hAnsi="宋体"/>
          <w:sz w:val="24"/>
        </w:rPr>
        <w:t>理（</w:t>
      </w:r>
      <w:r>
        <w:rPr>
          <w:rFonts w:hint="eastAsia" w:ascii="宋体" w:hAnsi="宋体"/>
          <w:sz w:val="24"/>
        </w:rPr>
        <w:t>老</w:t>
      </w:r>
      <w:r>
        <w:rPr>
          <w:rFonts w:ascii="宋体" w:hAnsi="宋体"/>
          <w:sz w:val="24"/>
        </w:rPr>
        <w:t>年</w:t>
      </w:r>
      <w:r>
        <w:rPr>
          <w:rFonts w:hint="eastAsia" w:ascii="宋体" w:hAnsi="宋体"/>
          <w:sz w:val="24"/>
        </w:rPr>
        <w:t>方</w:t>
      </w:r>
      <w:r>
        <w:rPr>
          <w:rFonts w:ascii="宋体" w:hAnsi="宋体"/>
          <w:sz w:val="24"/>
        </w:rPr>
        <w:t>向）学生</w:t>
      </w:r>
      <w:r>
        <w:rPr>
          <w:rFonts w:hint="eastAsia" w:ascii="宋体" w:hAnsi="宋体"/>
          <w:sz w:val="24"/>
        </w:rPr>
        <w:t>的</w:t>
      </w:r>
      <w:r>
        <w:rPr>
          <w:rFonts w:ascii="宋体" w:hAnsi="宋体"/>
          <w:sz w:val="24"/>
        </w:rPr>
        <w:t>老年照护</w:t>
      </w:r>
      <w:r>
        <w:rPr>
          <w:rFonts w:hint="eastAsia" w:ascii="宋体" w:hAnsi="宋体"/>
          <w:sz w:val="24"/>
        </w:rPr>
        <w:t>理论</w:t>
      </w:r>
      <w:r>
        <w:rPr>
          <w:rFonts w:ascii="宋体" w:hAnsi="宋体"/>
          <w:sz w:val="24"/>
        </w:rPr>
        <w:t>、实操</w:t>
      </w:r>
      <w:r>
        <w:rPr>
          <w:rFonts w:hint="eastAsia" w:ascii="宋体" w:hAnsi="宋体"/>
          <w:sz w:val="24"/>
        </w:rPr>
        <w:t>辅导。</w:t>
      </w:r>
    </w:p>
    <w:p>
      <w:pPr>
        <w:spacing w:line="480" w:lineRule="exact"/>
        <w:ind w:firstLine="597" w:firstLineChars="249"/>
        <w:rPr>
          <w:rFonts w:ascii="宋体" w:hAnsi="宋体"/>
          <w:sz w:val="24"/>
        </w:rPr>
      </w:pPr>
      <w:r>
        <w:rPr>
          <w:rFonts w:hint="eastAsia" w:ascii="宋体" w:hAnsi="宋体"/>
          <w:sz w:val="24"/>
        </w:rPr>
        <w:t>考点建设，及时落地：在原有护理专业实训条件的基础上，积极申报考核点建设，全力保障1+X老年照护证书试点工作顺利推进。</w:t>
      </w:r>
    </w:p>
    <w:p>
      <w:pPr>
        <w:spacing w:line="480" w:lineRule="exact"/>
        <w:ind w:firstLine="597" w:firstLineChars="249"/>
        <w:rPr>
          <w:rFonts w:ascii="宋体" w:hAnsi="宋体"/>
          <w:sz w:val="24"/>
        </w:rPr>
      </w:pPr>
      <w:r>
        <w:rPr>
          <w:rFonts w:hint="eastAsia" w:ascii="宋体" w:hAnsi="宋体"/>
          <w:sz w:val="24"/>
        </w:rPr>
        <w:t>主动对接，关注动态： 9月</w:t>
      </w:r>
      <w:r>
        <w:rPr>
          <w:rFonts w:ascii="宋体" w:hAnsi="宋体"/>
          <w:sz w:val="24"/>
        </w:rPr>
        <w:t>，</w:t>
      </w:r>
      <w:r>
        <w:rPr>
          <w:rFonts w:hint="eastAsia" w:ascii="宋体" w:hAnsi="宋体"/>
          <w:sz w:val="24"/>
        </w:rPr>
        <w:t>学</w:t>
      </w:r>
      <w:r>
        <w:rPr>
          <w:rFonts w:ascii="宋体" w:hAnsi="宋体"/>
          <w:sz w:val="24"/>
        </w:rPr>
        <w:t>校</w:t>
      </w:r>
      <w:r>
        <w:rPr>
          <w:rFonts w:hint="eastAsia" w:ascii="宋体" w:hAnsi="宋体"/>
          <w:sz w:val="24"/>
        </w:rPr>
        <w:t>积极响应国家长三角经济战略，主动加入长三角养老行为人才培养共享平台，对接、</w:t>
      </w:r>
      <w:r>
        <w:rPr>
          <w:rFonts w:ascii="宋体" w:hAnsi="宋体"/>
          <w:sz w:val="24"/>
        </w:rPr>
        <w:t>关注</w:t>
      </w:r>
      <w:r>
        <w:rPr>
          <w:rFonts w:hint="eastAsia" w:ascii="宋体" w:hAnsi="宋体"/>
          <w:sz w:val="24"/>
        </w:rPr>
        <w:t>养老行业新理念、新动态。</w:t>
      </w:r>
    </w:p>
    <w:p>
      <w:pPr>
        <w:spacing w:line="360" w:lineRule="auto"/>
        <w:ind w:firstLine="480" w:firstLineChars="200"/>
        <w:rPr>
          <w:rFonts w:ascii="宋体" w:hAnsi="宋体"/>
          <w:sz w:val="24"/>
        </w:rPr>
      </w:pPr>
      <w:r>
        <w:rPr>
          <w:rFonts w:asciiTheme="minorEastAsia" w:hAnsiTheme="minorEastAsia"/>
          <w:kern w:val="0"/>
          <w:sz w:val="24"/>
        </w:rPr>
        <w:drawing>
          <wp:anchor distT="0" distB="0" distL="114935" distR="114935" simplePos="0" relativeHeight="251673600" behindDoc="0" locked="0" layoutInCell="1" allowOverlap="1">
            <wp:simplePos x="0" y="0"/>
            <wp:positionH relativeFrom="margin">
              <wp:posOffset>95250</wp:posOffset>
            </wp:positionH>
            <wp:positionV relativeFrom="paragraph">
              <wp:posOffset>2228850</wp:posOffset>
            </wp:positionV>
            <wp:extent cx="2460625" cy="1638300"/>
            <wp:effectExtent l="0" t="0" r="15875"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60625" cy="1638300"/>
                    </a:xfrm>
                    <a:prstGeom prst="rect">
                      <a:avLst/>
                    </a:prstGeom>
                    <a:noFill/>
                  </pic:spPr>
                </pic:pic>
              </a:graphicData>
            </a:graphic>
          </wp:anchor>
        </w:drawing>
      </w:r>
      <w:r>
        <w:rPr>
          <w:rFonts w:asciiTheme="minorEastAsia" w:hAnsiTheme="minorEastAsia"/>
          <w:kern w:val="0"/>
          <w:sz w:val="24"/>
        </w:rPr>
        <w:drawing>
          <wp:anchor distT="0" distB="0" distL="114300" distR="114300" simplePos="0" relativeHeight="251671552" behindDoc="0" locked="0" layoutInCell="1" allowOverlap="1">
            <wp:simplePos x="0" y="0"/>
            <wp:positionH relativeFrom="column">
              <wp:posOffset>2828925</wp:posOffset>
            </wp:positionH>
            <wp:positionV relativeFrom="paragraph">
              <wp:posOffset>2209800</wp:posOffset>
            </wp:positionV>
            <wp:extent cx="2209800" cy="1657350"/>
            <wp:effectExtent l="0" t="0" r="0" b="0"/>
            <wp:wrapSquare wrapText="bothSides"/>
            <wp:docPr id="13" name="图片 13" descr="C:\Users\Hnwx\AppData\Local\Temp\WeChat Files\415a98a6c39955ff5f09c46f3ade6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Hnwx\AppData\Local\Temp\WeChat Files\415a98a6c39955ff5f09c46f3ade6f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09800" cy="1657350"/>
                    </a:xfrm>
                    <a:prstGeom prst="rect">
                      <a:avLst/>
                    </a:prstGeom>
                    <a:noFill/>
                    <a:ln>
                      <a:noFill/>
                    </a:ln>
                  </pic:spPr>
                </pic:pic>
              </a:graphicData>
            </a:graphic>
          </wp:anchor>
        </w:drawing>
      </w:r>
      <w:r>
        <w:rPr>
          <w:rFonts w:hint="eastAsia" w:ascii="宋体" w:hAnsi="宋体"/>
          <w:sz w:val="24"/>
        </w:rPr>
        <w:t>试</w:t>
      </w:r>
      <w:r>
        <w:rPr>
          <w:rFonts w:ascii="宋体" w:hAnsi="宋体"/>
          <w:sz w:val="24"/>
        </w:rPr>
        <w:t>点半年多来，</w:t>
      </w:r>
      <w:r>
        <w:rPr>
          <w:rFonts w:hint="eastAsia" w:ascii="宋体" w:hAnsi="宋体"/>
          <w:sz w:val="24"/>
        </w:rPr>
        <w:t>取</w:t>
      </w:r>
      <w:r>
        <w:rPr>
          <w:rFonts w:ascii="宋体" w:hAnsi="宋体"/>
          <w:sz w:val="24"/>
        </w:rPr>
        <w:t>得</w:t>
      </w:r>
      <w:r>
        <w:rPr>
          <w:rFonts w:hint="eastAsia" w:ascii="宋体" w:hAnsi="宋体"/>
          <w:sz w:val="24"/>
        </w:rPr>
        <w:t>了一定的成</w:t>
      </w:r>
      <w:r>
        <w:rPr>
          <w:rFonts w:ascii="宋体" w:hAnsi="宋体"/>
          <w:sz w:val="24"/>
        </w:rPr>
        <w:t>效</w:t>
      </w:r>
      <w:r>
        <w:rPr>
          <w:rFonts w:hint="eastAsia" w:ascii="宋体" w:hAnsi="宋体"/>
          <w:sz w:val="24"/>
        </w:rPr>
        <w:t>。在2019年浙江省1+X证书制度试点工作推进会上，学校作为全省卫生类院校的唯一代表与会，给出了</w:t>
      </w:r>
      <w:r>
        <w:rPr>
          <w:rFonts w:ascii="宋体" w:hAnsi="宋体"/>
          <w:sz w:val="24"/>
        </w:rPr>
        <w:t>试点的</w:t>
      </w:r>
      <w:r>
        <w:rPr>
          <w:rFonts w:hint="eastAsia" w:ascii="宋体" w:hAnsi="宋体"/>
          <w:sz w:val="24"/>
        </w:rPr>
        <w:t>“海卫模板 ”进行经验介绍；在省 “三名工程”第二年度考核中</w:t>
      </w:r>
      <w:r>
        <w:rPr>
          <w:rFonts w:ascii="宋体" w:hAnsi="宋体"/>
          <w:sz w:val="24"/>
        </w:rPr>
        <w:t>，我校护理品牌专业</w:t>
      </w:r>
      <w:r>
        <w:rPr>
          <w:rFonts w:hint="eastAsia" w:ascii="宋体" w:hAnsi="宋体"/>
          <w:sz w:val="24"/>
        </w:rPr>
        <w:t>获得优秀等级，专业主任周晓红老</w:t>
      </w:r>
      <w:r>
        <w:rPr>
          <w:rFonts w:ascii="宋体" w:hAnsi="宋体"/>
          <w:sz w:val="24"/>
        </w:rPr>
        <w:t>师</w:t>
      </w:r>
      <w:r>
        <w:rPr>
          <w:rFonts w:hint="eastAsia" w:ascii="宋体" w:hAnsi="宋体"/>
          <w:sz w:val="24"/>
        </w:rPr>
        <w:t>受邀在省“</w:t>
      </w:r>
      <w:r>
        <w:rPr>
          <w:rFonts w:ascii="宋体" w:hAnsi="宋体"/>
          <w:sz w:val="24"/>
        </w:rPr>
        <w:t>三名工程”</w:t>
      </w:r>
      <w:r>
        <w:rPr>
          <w:rFonts w:hint="eastAsia" w:ascii="宋体" w:hAnsi="宋体"/>
          <w:sz w:val="24"/>
        </w:rPr>
        <w:t>项目建设培训班</w:t>
      </w:r>
      <w:r>
        <w:rPr>
          <w:rFonts w:ascii="宋体" w:hAnsi="宋体"/>
          <w:sz w:val="24"/>
        </w:rPr>
        <w:t>上</w:t>
      </w:r>
      <w:r>
        <w:rPr>
          <w:rFonts w:hint="eastAsia" w:ascii="宋体" w:hAnsi="宋体"/>
          <w:sz w:val="24"/>
        </w:rPr>
        <w:t>讲座，分享建设经验、1+X证书制度试点工作等；助力区域</w:t>
      </w:r>
      <w:r>
        <w:rPr>
          <w:rFonts w:ascii="宋体" w:hAnsi="宋体"/>
          <w:sz w:val="24"/>
        </w:rPr>
        <w:t>内</w:t>
      </w:r>
      <w:r>
        <w:rPr>
          <w:rFonts w:hint="eastAsia" w:ascii="宋体" w:hAnsi="宋体"/>
          <w:sz w:val="24"/>
        </w:rPr>
        <w:t>养老</w:t>
      </w:r>
      <w:r>
        <w:rPr>
          <w:rFonts w:ascii="宋体" w:hAnsi="宋体"/>
          <w:sz w:val="24"/>
        </w:rPr>
        <w:t>护理员</w:t>
      </w:r>
      <w:r>
        <w:rPr>
          <w:rFonts w:hint="eastAsia" w:ascii="宋体" w:hAnsi="宋体"/>
          <w:sz w:val="24"/>
        </w:rPr>
        <w:t>培训，在2019年省养老护理员技能竞赛中，取得“职业才能展示”第一名、团</w:t>
      </w:r>
      <w:r>
        <w:rPr>
          <w:rFonts w:ascii="宋体" w:hAnsi="宋体"/>
          <w:sz w:val="24"/>
        </w:rPr>
        <w:t>体优秀组织奖</w:t>
      </w:r>
      <w:r>
        <w:rPr>
          <w:rFonts w:hint="eastAsia" w:ascii="宋体" w:hAnsi="宋体"/>
          <w:sz w:val="24"/>
        </w:rPr>
        <w:t>等荣誉，学</w:t>
      </w:r>
      <w:r>
        <w:rPr>
          <w:rFonts w:ascii="宋体" w:hAnsi="宋体"/>
          <w:sz w:val="24"/>
        </w:rPr>
        <w:t>校</w:t>
      </w:r>
      <w:r>
        <w:rPr>
          <w:rFonts w:hint="eastAsia" w:ascii="宋体" w:hAnsi="宋体"/>
          <w:sz w:val="24"/>
        </w:rPr>
        <w:t>1+X试点工作已经有一定的影响力，</w:t>
      </w:r>
      <w:r>
        <w:rPr>
          <w:rFonts w:ascii="宋体" w:hAnsi="宋体"/>
          <w:sz w:val="24"/>
        </w:rPr>
        <w:t>彰显</w:t>
      </w:r>
      <w:r>
        <w:rPr>
          <w:rFonts w:hint="eastAsia" w:ascii="宋体" w:hAnsi="宋体"/>
          <w:sz w:val="24"/>
        </w:rPr>
        <w:t>专业</w:t>
      </w:r>
      <w:r>
        <w:rPr>
          <w:rFonts w:ascii="宋体" w:hAnsi="宋体"/>
          <w:sz w:val="24"/>
        </w:rPr>
        <w:t>品牌建设成效</w:t>
      </w:r>
      <w:r>
        <w:rPr>
          <w:rFonts w:hint="eastAsia" w:ascii="宋体" w:hAnsi="宋体"/>
          <w:sz w:val="24"/>
        </w:rPr>
        <w:t>。</w:t>
      </w:r>
    </w:p>
    <w:p>
      <w:pPr>
        <w:pStyle w:val="2"/>
        <w:keepNext w:val="0"/>
        <w:keepLines w:val="0"/>
        <w:adjustRightInd w:val="0"/>
        <w:snapToGrid w:val="0"/>
        <w:spacing w:before="156" w:beforeLines="50" w:line="360" w:lineRule="auto"/>
        <w:ind w:firstLine="452" w:firstLineChars="150"/>
        <w:rPr>
          <w:rFonts w:ascii="黑体" w:hAnsi="黑体" w:eastAsia="黑体" w:cs="黑体"/>
          <w:sz w:val="30"/>
          <w:szCs w:val="30"/>
        </w:rPr>
      </w:pPr>
      <w:r>
        <w:rPr>
          <w:rFonts w:hint="eastAsia" w:ascii="黑体" w:hAnsi="黑体" w:eastAsia="黑体" w:cs="黑体"/>
          <w:sz w:val="30"/>
          <w:szCs w:val="30"/>
        </w:rPr>
        <w:t>8.主要问题和改进措施</w:t>
      </w:r>
      <w:bookmarkEnd w:id="87"/>
      <w:bookmarkEnd w:id="88"/>
    </w:p>
    <w:p>
      <w:pPr>
        <w:pStyle w:val="3"/>
        <w:keepNext w:val="0"/>
        <w:keepLines w:val="0"/>
        <w:adjustRightInd w:val="0"/>
        <w:snapToGrid w:val="0"/>
        <w:spacing w:line="360" w:lineRule="auto"/>
        <w:ind w:firstLine="560" w:firstLineChars="200"/>
        <w:rPr>
          <w:b w:val="0"/>
          <w:sz w:val="28"/>
          <w:szCs w:val="28"/>
        </w:rPr>
      </w:pPr>
      <w:bookmarkStart w:id="89" w:name="_Toc471905965"/>
      <w:bookmarkStart w:id="90" w:name="_Toc467049657"/>
      <w:bookmarkStart w:id="91" w:name="_Toc433043231"/>
      <w:bookmarkStart w:id="92" w:name="_Toc433043592"/>
      <w:r>
        <w:rPr>
          <w:rFonts w:hint="eastAsia"/>
          <w:b w:val="0"/>
          <w:sz w:val="28"/>
          <w:szCs w:val="28"/>
        </w:rPr>
        <w:t>8.1校舍不足对</w:t>
      </w:r>
      <w:r>
        <w:rPr>
          <w:b w:val="0"/>
          <w:sz w:val="28"/>
          <w:szCs w:val="28"/>
        </w:rPr>
        <w:t>学</w:t>
      </w:r>
      <w:r>
        <w:rPr>
          <w:rFonts w:hint="eastAsia"/>
          <w:b w:val="0"/>
          <w:sz w:val="28"/>
          <w:szCs w:val="28"/>
        </w:rPr>
        <w:t>校发展</w:t>
      </w:r>
      <w:r>
        <w:rPr>
          <w:b w:val="0"/>
          <w:sz w:val="28"/>
          <w:szCs w:val="28"/>
        </w:rPr>
        <w:t>的制约</w:t>
      </w:r>
    </w:p>
    <w:p>
      <w:pPr>
        <w:adjustRightInd w:val="0"/>
        <w:snapToGrid w:val="0"/>
        <w:spacing w:line="360" w:lineRule="auto"/>
        <w:ind w:firstLine="480" w:firstLineChars="200"/>
        <w:rPr>
          <w:rFonts w:ascii="宋体" w:hAnsi="宋体"/>
          <w:sz w:val="24"/>
        </w:rPr>
      </w:pPr>
      <w:r>
        <w:rPr>
          <w:rFonts w:ascii="宋体" w:hAnsi="宋体"/>
          <w:sz w:val="24"/>
        </w:rPr>
        <w:t>学校现</w:t>
      </w:r>
      <w:r>
        <w:rPr>
          <w:rFonts w:hint="eastAsia" w:ascii="宋体" w:hAnsi="宋体"/>
          <w:sz w:val="24"/>
        </w:rPr>
        <w:t>教学</w:t>
      </w:r>
      <w:r>
        <w:rPr>
          <w:rFonts w:ascii="宋体" w:hAnsi="宋体"/>
          <w:sz w:val="24"/>
        </w:rPr>
        <w:t>校</w:t>
      </w:r>
      <w:r>
        <w:rPr>
          <w:rFonts w:hint="eastAsia" w:ascii="宋体" w:hAnsi="宋体"/>
          <w:sz w:val="24"/>
        </w:rPr>
        <w:t>区占</w:t>
      </w:r>
      <w:r>
        <w:rPr>
          <w:rFonts w:ascii="宋体" w:hAnsi="宋体"/>
          <w:sz w:val="24"/>
        </w:rPr>
        <w:t>地</w:t>
      </w:r>
      <w:r>
        <w:rPr>
          <w:rFonts w:hint="eastAsia" w:ascii="宋体" w:hAnsi="宋体"/>
          <w:sz w:val="24"/>
        </w:rPr>
        <w:t>面积仅</w:t>
      </w:r>
      <w:r>
        <w:rPr>
          <w:rFonts w:hint="eastAsia" w:ascii="宋体" w:hAnsi="宋体" w:cs="宋体"/>
          <w:kern w:val="0"/>
          <w:sz w:val="24"/>
        </w:rPr>
        <w:t>38060平方米</w:t>
      </w:r>
      <w:r>
        <w:rPr>
          <w:rFonts w:ascii="宋体" w:hAnsi="宋体"/>
          <w:sz w:val="24"/>
        </w:rPr>
        <w:t>，建筑面积</w:t>
      </w:r>
      <w:r>
        <w:rPr>
          <w:rFonts w:hint="eastAsia" w:cs="宋体" w:asciiTheme="minorEastAsia" w:hAnsiTheme="minorEastAsia" w:eastAsiaTheme="minorEastAsia"/>
          <w:kern w:val="0"/>
          <w:sz w:val="24"/>
        </w:rPr>
        <w:t>28747</w:t>
      </w:r>
      <w:r>
        <w:rPr>
          <w:rFonts w:hint="eastAsia" w:ascii="宋体" w:hAnsi="宋体"/>
          <w:sz w:val="24"/>
        </w:rPr>
        <w:t>平方</w:t>
      </w:r>
      <w:r>
        <w:rPr>
          <w:rFonts w:ascii="宋体" w:hAnsi="宋体"/>
          <w:sz w:val="24"/>
        </w:rPr>
        <w:t>米，</w:t>
      </w:r>
      <w:r>
        <w:rPr>
          <w:rFonts w:hint="eastAsia" w:ascii="宋体" w:hAnsi="宋体"/>
          <w:sz w:val="24"/>
        </w:rPr>
        <w:t>现有</w:t>
      </w:r>
      <w:r>
        <w:rPr>
          <w:rFonts w:ascii="宋体" w:hAnsi="宋体"/>
          <w:sz w:val="24"/>
        </w:rPr>
        <w:t>校舍仅能满足</w:t>
      </w:r>
      <w:r>
        <w:rPr>
          <w:rFonts w:hint="eastAsia" w:ascii="宋体" w:hAnsi="宋体"/>
          <w:sz w:val="24"/>
        </w:rPr>
        <w:t>最</w:t>
      </w:r>
      <w:r>
        <w:rPr>
          <w:rFonts w:ascii="宋体" w:hAnsi="宋体"/>
          <w:sz w:val="24"/>
        </w:rPr>
        <w:t>基本教学、</w:t>
      </w:r>
      <w:r>
        <w:rPr>
          <w:rFonts w:hint="eastAsia" w:ascii="宋体" w:hAnsi="宋体"/>
          <w:sz w:val="24"/>
        </w:rPr>
        <w:t>实训和</w:t>
      </w:r>
      <w:r>
        <w:rPr>
          <w:rFonts w:ascii="宋体" w:hAnsi="宋体"/>
          <w:sz w:val="24"/>
        </w:rPr>
        <w:t>学生生活需求</w:t>
      </w:r>
      <w:r>
        <w:rPr>
          <w:rFonts w:hint="eastAsia" w:ascii="宋体" w:hAnsi="宋体"/>
          <w:sz w:val="24"/>
        </w:rPr>
        <w:t>，校</w:t>
      </w:r>
      <w:r>
        <w:rPr>
          <w:rFonts w:ascii="宋体" w:hAnsi="宋体"/>
          <w:sz w:val="24"/>
        </w:rPr>
        <w:t>舍</w:t>
      </w:r>
      <w:r>
        <w:rPr>
          <w:rFonts w:hint="eastAsia" w:ascii="宋体" w:hAnsi="宋体"/>
          <w:sz w:val="24"/>
        </w:rPr>
        <w:t>紧张</w:t>
      </w:r>
      <w:r>
        <w:rPr>
          <w:rFonts w:ascii="宋体" w:hAnsi="宋体"/>
          <w:sz w:val="24"/>
        </w:rPr>
        <w:t>主要体现在：</w:t>
      </w:r>
    </w:p>
    <w:p>
      <w:pPr>
        <w:adjustRightInd w:val="0"/>
        <w:snapToGrid w:val="0"/>
        <w:spacing w:line="360" w:lineRule="auto"/>
        <w:ind w:firstLine="480" w:firstLineChars="200"/>
        <w:rPr>
          <w:rFonts w:ascii="宋体" w:hAnsi="宋体"/>
          <w:sz w:val="24"/>
        </w:rPr>
      </w:pPr>
      <w:r>
        <w:rPr>
          <w:rFonts w:hint="eastAsia" w:ascii="宋体" w:hAnsi="宋体"/>
          <w:sz w:val="24"/>
        </w:rPr>
        <w:t>学校</w:t>
      </w:r>
      <w:r>
        <w:rPr>
          <w:rFonts w:ascii="宋体" w:hAnsi="宋体"/>
          <w:sz w:val="24"/>
        </w:rPr>
        <w:t>无体育</w:t>
      </w:r>
      <w:r>
        <w:rPr>
          <w:rFonts w:hint="eastAsia" w:ascii="宋体" w:hAnsi="宋体"/>
          <w:sz w:val="24"/>
        </w:rPr>
        <w:t>馆等</w:t>
      </w:r>
      <w:r>
        <w:rPr>
          <w:rFonts w:ascii="宋体" w:hAnsi="宋体"/>
          <w:sz w:val="24"/>
        </w:rPr>
        <w:t>室内文体活动场所</w:t>
      </w:r>
      <w:r>
        <w:rPr>
          <w:rFonts w:hint="eastAsia" w:ascii="宋体" w:hAnsi="宋体"/>
          <w:sz w:val="24"/>
        </w:rPr>
        <w:t>，学生宿舍条件</w:t>
      </w:r>
      <w:r>
        <w:rPr>
          <w:rFonts w:ascii="宋体" w:hAnsi="宋体"/>
          <w:sz w:val="24"/>
        </w:rPr>
        <w:t>已</w:t>
      </w:r>
      <w:r>
        <w:rPr>
          <w:rFonts w:hint="eastAsia" w:ascii="宋体" w:hAnsi="宋体"/>
          <w:sz w:val="24"/>
        </w:rPr>
        <w:t>无法</w:t>
      </w:r>
      <w:r>
        <w:rPr>
          <w:rFonts w:ascii="宋体" w:hAnsi="宋体"/>
          <w:sz w:val="24"/>
        </w:rPr>
        <w:t>满足</w:t>
      </w:r>
      <w:r>
        <w:rPr>
          <w:rFonts w:hint="eastAsia" w:ascii="宋体" w:hAnsi="宋体"/>
          <w:sz w:val="24"/>
        </w:rPr>
        <w:t>现有</w:t>
      </w:r>
      <w:r>
        <w:rPr>
          <w:rFonts w:ascii="宋体" w:hAnsi="宋体"/>
          <w:sz w:val="24"/>
        </w:rPr>
        <w:t>办学规模的需求，办学</w:t>
      </w:r>
      <w:r>
        <w:rPr>
          <w:rFonts w:hint="eastAsia" w:ascii="宋体" w:hAnsi="宋体"/>
          <w:sz w:val="24"/>
        </w:rPr>
        <w:t>场所</w:t>
      </w:r>
      <w:r>
        <w:rPr>
          <w:rFonts w:ascii="宋体" w:hAnsi="宋体"/>
          <w:sz w:val="24"/>
        </w:rPr>
        <w:t>严重紧缺，与</w:t>
      </w:r>
      <w:r>
        <w:rPr>
          <w:rFonts w:hint="eastAsia" w:ascii="宋体" w:hAnsi="宋体"/>
          <w:sz w:val="24"/>
        </w:rPr>
        <w:t>浙江</w:t>
      </w:r>
      <w:r>
        <w:rPr>
          <w:rFonts w:ascii="宋体" w:hAnsi="宋体"/>
          <w:sz w:val="24"/>
        </w:rPr>
        <w:t>省一</w:t>
      </w:r>
      <w:r>
        <w:rPr>
          <w:rFonts w:hint="eastAsia" w:ascii="宋体" w:hAnsi="宋体"/>
          <w:sz w:val="24"/>
        </w:rPr>
        <w:t>级学校评估</w:t>
      </w:r>
      <w:r>
        <w:rPr>
          <w:rFonts w:ascii="宋体" w:hAnsi="宋体"/>
          <w:sz w:val="24"/>
        </w:rPr>
        <w:t>标准</w:t>
      </w:r>
      <w:r>
        <w:rPr>
          <w:rFonts w:hint="eastAsia" w:ascii="宋体" w:hAnsi="宋体"/>
          <w:sz w:val="24"/>
        </w:rPr>
        <w:t>校园</w:t>
      </w:r>
      <w:r>
        <w:rPr>
          <w:rFonts w:ascii="宋体" w:hAnsi="宋体"/>
          <w:sz w:val="24"/>
        </w:rPr>
        <w:t>占地</w:t>
      </w:r>
      <w:r>
        <w:rPr>
          <w:rFonts w:hint="eastAsia" w:ascii="宋体" w:hAnsi="宋体"/>
          <w:sz w:val="24"/>
        </w:rPr>
        <w:t>150亩</w:t>
      </w:r>
      <w:r>
        <w:rPr>
          <w:rFonts w:ascii="宋体" w:hAnsi="宋体"/>
          <w:sz w:val="24"/>
        </w:rPr>
        <w:t>以上，</w:t>
      </w:r>
      <w:r>
        <w:rPr>
          <w:rFonts w:hint="eastAsia" w:ascii="宋体" w:hAnsi="宋体"/>
          <w:sz w:val="24"/>
        </w:rPr>
        <w:t>生均校园面积不少于33平</w:t>
      </w:r>
      <w:r>
        <w:rPr>
          <w:rFonts w:ascii="宋体" w:hAnsi="宋体"/>
          <w:sz w:val="24"/>
        </w:rPr>
        <w:t>方米</w:t>
      </w:r>
      <w:r>
        <w:rPr>
          <w:rFonts w:hint="eastAsia" w:ascii="宋体" w:hAnsi="宋体"/>
          <w:sz w:val="24"/>
        </w:rPr>
        <w:t>，生均校舍建筑面积不少于2平</w:t>
      </w:r>
      <w:r>
        <w:rPr>
          <w:rFonts w:ascii="宋体" w:hAnsi="宋体"/>
          <w:sz w:val="24"/>
        </w:rPr>
        <w:t>方米</w:t>
      </w:r>
      <w:r>
        <w:rPr>
          <w:rFonts w:hint="eastAsia" w:ascii="宋体" w:hAnsi="宋体"/>
          <w:sz w:val="24"/>
        </w:rPr>
        <w:t>差距较</w:t>
      </w:r>
      <w:r>
        <w:rPr>
          <w:rFonts w:ascii="宋体" w:hAnsi="宋体"/>
          <w:sz w:val="24"/>
        </w:rPr>
        <w:t>大</w:t>
      </w:r>
      <w:r>
        <w:rPr>
          <w:rFonts w:hint="eastAsia" w:ascii="宋体" w:hAnsi="宋体"/>
          <w:sz w:val="24"/>
        </w:rPr>
        <w:t>。</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实训室</w:t>
      </w:r>
      <w:r>
        <w:rPr>
          <w:rFonts w:ascii="宋体" w:hAnsi="宋体" w:cs="Arial"/>
          <w:sz w:val="24"/>
        </w:rPr>
        <w:t>建设</w:t>
      </w:r>
      <w:r>
        <w:rPr>
          <w:rFonts w:hint="eastAsia" w:ascii="宋体" w:hAnsi="宋体" w:cs="Arial"/>
          <w:sz w:val="24"/>
        </w:rPr>
        <w:t>上，随</w:t>
      </w:r>
      <w:r>
        <w:rPr>
          <w:rFonts w:ascii="宋体" w:hAnsi="宋体" w:cs="Arial"/>
          <w:sz w:val="24"/>
        </w:rPr>
        <w:t>着选择性课改走班选课</w:t>
      </w:r>
      <w:r>
        <w:rPr>
          <w:rFonts w:hint="eastAsia" w:ascii="宋体" w:hAnsi="宋体" w:cs="Arial"/>
          <w:sz w:val="24"/>
        </w:rPr>
        <w:t>、学生</w:t>
      </w:r>
      <w:r>
        <w:rPr>
          <w:rFonts w:ascii="宋体" w:hAnsi="宋体" w:cs="Arial"/>
          <w:sz w:val="24"/>
        </w:rPr>
        <w:t>职业</w:t>
      </w:r>
      <w:r>
        <w:rPr>
          <w:rFonts w:hint="eastAsia" w:ascii="宋体" w:hAnsi="宋体" w:cs="Arial"/>
          <w:sz w:val="24"/>
        </w:rPr>
        <w:t>体验的</w:t>
      </w:r>
      <w:r>
        <w:rPr>
          <w:rFonts w:ascii="宋体" w:hAnsi="宋体" w:cs="Arial"/>
          <w:sz w:val="24"/>
        </w:rPr>
        <w:t>进一步推进，</w:t>
      </w:r>
      <w:r>
        <w:rPr>
          <w:rFonts w:hint="eastAsia" w:ascii="宋体" w:hAnsi="宋体" w:cs="Arial"/>
          <w:sz w:val="24"/>
        </w:rPr>
        <w:t>对</w:t>
      </w:r>
      <w:r>
        <w:rPr>
          <w:rFonts w:ascii="宋体" w:hAnsi="宋体" w:cs="Arial"/>
          <w:sz w:val="24"/>
        </w:rPr>
        <w:t>职业体验</w:t>
      </w:r>
      <w:r>
        <w:rPr>
          <w:rFonts w:hint="eastAsia" w:ascii="宋体" w:hAnsi="宋体" w:cs="Arial"/>
          <w:sz w:val="24"/>
        </w:rPr>
        <w:t>、</w:t>
      </w:r>
      <w:r>
        <w:rPr>
          <w:rFonts w:ascii="宋体" w:hAnsi="宋体" w:cs="Arial"/>
          <w:sz w:val="24"/>
        </w:rPr>
        <w:t>技能实训等</w:t>
      </w:r>
      <w:r>
        <w:rPr>
          <w:rFonts w:hint="eastAsia" w:ascii="宋体" w:hAnsi="宋体" w:cs="Arial"/>
          <w:sz w:val="24"/>
        </w:rPr>
        <w:t>实训教学</w:t>
      </w:r>
      <w:r>
        <w:rPr>
          <w:rFonts w:ascii="宋体" w:hAnsi="宋体" w:cs="Arial"/>
          <w:sz w:val="24"/>
        </w:rPr>
        <w:t>场所</w:t>
      </w:r>
      <w:r>
        <w:rPr>
          <w:rFonts w:hint="eastAsia" w:ascii="宋体" w:hAnsi="宋体" w:cs="Arial"/>
          <w:sz w:val="24"/>
        </w:rPr>
        <w:t>需</w:t>
      </w:r>
      <w:r>
        <w:rPr>
          <w:rFonts w:ascii="宋体" w:hAnsi="宋体" w:cs="Arial"/>
          <w:sz w:val="24"/>
        </w:rPr>
        <w:t>求</w:t>
      </w:r>
      <w:r>
        <w:rPr>
          <w:rFonts w:hint="eastAsia" w:ascii="宋体" w:hAnsi="宋体" w:cs="Arial"/>
          <w:sz w:val="24"/>
        </w:rPr>
        <w:t>不</w:t>
      </w:r>
      <w:r>
        <w:rPr>
          <w:rFonts w:ascii="宋体" w:hAnsi="宋体" w:cs="Arial"/>
          <w:sz w:val="24"/>
        </w:rPr>
        <w:t>断增加</w:t>
      </w:r>
      <w:r>
        <w:rPr>
          <w:rFonts w:hint="eastAsia" w:ascii="宋体" w:hAnsi="宋体" w:cs="Arial"/>
          <w:sz w:val="24"/>
        </w:rPr>
        <w:t>，实训室和场地更显不足，与医药卫生类专业理实一体化教学、“做中学、学中做”的教学实训要求矛盾突出。</w:t>
      </w:r>
    </w:p>
    <w:p>
      <w:pPr>
        <w:adjustRightInd w:val="0"/>
        <w:snapToGrid w:val="0"/>
        <w:spacing w:line="360" w:lineRule="auto"/>
        <w:ind w:firstLine="602" w:firstLineChars="250"/>
        <w:rPr>
          <w:rFonts w:ascii="宋体" w:hAnsi="宋体" w:cs="Arial"/>
          <w:b/>
          <w:sz w:val="24"/>
        </w:rPr>
      </w:pPr>
      <w:r>
        <w:rPr>
          <w:rFonts w:ascii="宋体" w:hAnsi="宋体" w:cs="Arial"/>
          <w:b/>
          <w:sz w:val="24"/>
        </w:rPr>
        <w:t>对策</w:t>
      </w:r>
      <w:r>
        <w:rPr>
          <w:rFonts w:hint="eastAsia" w:ascii="宋体" w:hAnsi="宋体" w:cs="Arial"/>
          <w:b/>
          <w:sz w:val="24"/>
        </w:rPr>
        <w:t>措施</w:t>
      </w:r>
      <w:r>
        <w:rPr>
          <w:rFonts w:ascii="宋体" w:hAnsi="宋体" w:cs="Arial"/>
          <w:b/>
          <w:sz w:val="24"/>
        </w:rPr>
        <w:t>：</w:t>
      </w:r>
    </w:p>
    <w:p>
      <w:pPr>
        <w:adjustRightInd w:val="0"/>
        <w:snapToGrid w:val="0"/>
        <w:spacing w:line="360" w:lineRule="auto"/>
        <w:ind w:firstLine="480" w:firstLineChars="200"/>
        <w:rPr>
          <w:rFonts w:ascii="宋体" w:hAnsi="宋体" w:cs="Arial"/>
          <w:sz w:val="24"/>
        </w:rPr>
      </w:pPr>
      <w:r>
        <w:rPr>
          <w:rFonts w:hint="eastAsia" w:ascii="宋体" w:hAnsi="宋体" w:cs="Arial"/>
          <w:sz w:val="24"/>
        </w:rPr>
        <w:t>狠抓</w:t>
      </w:r>
      <w:r>
        <w:rPr>
          <w:rFonts w:ascii="宋体" w:hAnsi="宋体" w:cs="Arial"/>
          <w:sz w:val="24"/>
        </w:rPr>
        <w:t>教</w:t>
      </w:r>
      <w:r>
        <w:rPr>
          <w:rFonts w:hint="eastAsia" w:ascii="宋体" w:hAnsi="宋体" w:cs="Arial"/>
          <w:sz w:val="24"/>
        </w:rPr>
        <w:t>育</w:t>
      </w:r>
      <w:r>
        <w:rPr>
          <w:rFonts w:ascii="宋体" w:hAnsi="宋体" w:cs="Arial"/>
          <w:sz w:val="24"/>
        </w:rPr>
        <w:t>质量，</w:t>
      </w:r>
      <w:r>
        <w:rPr>
          <w:rFonts w:hint="eastAsia" w:ascii="宋体" w:hAnsi="宋体" w:cs="Arial"/>
          <w:sz w:val="24"/>
        </w:rPr>
        <w:t>扎实做好学校各项基础工作，打造学校品牌，得到政府</w:t>
      </w:r>
      <w:r>
        <w:rPr>
          <w:rFonts w:ascii="宋体" w:hAnsi="宋体" w:cs="Arial"/>
          <w:sz w:val="24"/>
        </w:rPr>
        <w:t>、社会和</w:t>
      </w:r>
      <w:r>
        <w:rPr>
          <w:rFonts w:hint="eastAsia" w:ascii="宋体" w:hAnsi="宋体" w:cs="Arial"/>
          <w:sz w:val="24"/>
        </w:rPr>
        <w:t>各级领导支持，在市委、市政府的正确领导下，积极配合有关部门做好与皮革城合作办学项目的落实。</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内部</w:t>
      </w:r>
      <w:r>
        <w:rPr>
          <w:rFonts w:ascii="宋体" w:hAnsi="宋体" w:cs="Arial"/>
          <w:sz w:val="24"/>
        </w:rPr>
        <w:t>挖潜，</w:t>
      </w:r>
      <w:r>
        <w:rPr>
          <w:rFonts w:hint="eastAsia" w:ascii="宋体" w:hAnsi="宋体" w:cs="Arial"/>
          <w:sz w:val="24"/>
        </w:rPr>
        <w:t>积极进行校内现</w:t>
      </w:r>
      <w:r>
        <w:rPr>
          <w:rFonts w:ascii="宋体" w:hAnsi="宋体" w:cs="Arial"/>
          <w:sz w:val="24"/>
        </w:rPr>
        <w:t>有校舍的功能</w:t>
      </w:r>
      <w:r>
        <w:rPr>
          <w:rFonts w:hint="eastAsia" w:ascii="宋体" w:hAnsi="宋体" w:cs="Arial"/>
          <w:sz w:val="24"/>
        </w:rPr>
        <w:t>布局科</w:t>
      </w:r>
      <w:r>
        <w:rPr>
          <w:rFonts w:ascii="宋体" w:hAnsi="宋体" w:cs="Arial"/>
          <w:sz w:val="24"/>
        </w:rPr>
        <w:t>学化、合理化，</w:t>
      </w:r>
      <w:r>
        <w:rPr>
          <w:rFonts w:hint="eastAsia" w:ascii="宋体" w:hAnsi="宋体" w:cs="Arial"/>
          <w:sz w:val="24"/>
        </w:rPr>
        <w:t>完成</w:t>
      </w:r>
      <w:r>
        <w:rPr>
          <w:rFonts w:ascii="宋体" w:hAnsi="宋体" w:cs="Arial"/>
          <w:sz w:val="24"/>
        </w:rPr>
        <w:t>心理咨询室</w:t>
      </w:r>
      <w:r>
        <w:rPr>
          <w:rFonts w:hint="eastAsia" w:ascii="宋体" w:hAnsi="宋体" w:cs="Arial"/>
          <w:sz w:val="24"/>
        </w:rPr>
        <w:t>改扩建，</w:t>
      </w:r>
      <w:r>
        <w:rPr>
          <w:rFonts w:ascii="宋体" w:hAnsi="宋体" w:cs="Arial"/>
          <w:sz w:val="24"/>
        </w:rPr>
        <w:t>启动药</w:t>
      </w:r>
      <w:r>
        <w:rPr>
          <w:rFonts w:hint="eastAsia" w:ascii="宋体" w:hAnsi="宋体" w:cs="Arial"/>
          <w:sz w:val="24"/>
        </w:rPr>
        <w:t>剂</w:t>
      </w:r>
      <w:r>
        <w:rPr>
          <w:rFonts w:ascii="宋体" w:hAnsi="宋体" w:cs="Arial"/>
          <w:sz w:val="24"/>
        </w:rPr>
        <w:t>和医</w:t>
      </w:r>
      <w:r>
        <w:rPr>
          <w:rFonts w:hint="eastAsia" w:ascii="宋体" w:hAnsi="宋体" w:cs="Arial"/>
          <w:sz w:val="24"/>
        </w:rPr>
        <w:t>技</w:t>
      </w:r>
      <w:r>
        <w:rPr>
          <w:rFonts w:ascii="宋体" w:hAnsi="宋体" w:cs="Arial"/>
          <w:sz w:val="24"/>
        </w:rPr>
        <w:t>实训中心</w:t>
      </w:r>
      <w:r>
        <w:rPr>
          <w:rFonts w:hint="eastAsia" w:ascii="宋体" w:hAnsi="宋体" w:cs="Arial"/>
          <w:sz w:val="24"/>
        </w:rPr>
        <w:t>、学生阅览室、</w:t>
      </w:r>
      <w:r>
        <w:rPr>
          <w:rFonts w:ascii="宋体" w:hAnsi="宋体" w:cs="Arial"/>
          <w:sz w:val="24"/>
        </w:rPr>
        <w:t>护理</w:t>
      </w:r>
      <w:r>
        <w:rPr>
          <w:rFonts w:hint="eastAsia" w:ascii="宋体" w:hAnsi="宋体" w:cs="Arial"/>
          <w:sz w:val="24"/>
        </w:rPr>
        <w:t>专业</w:t>
      </w:r>
      <w:r>
        <w:rPr>
          <w:rFonts w:ascii="宋体" w:hAnsi="宋体" w:cs="Arial"/>
          <w:sz w:val="24"/>
        </w:rPr>
        <w:t>实训</w:t>
      </w:r>
      <w:r>
        <w:rPr>
          <w:rFonts w:hint="eastAsia" w:ascii="宋体" w:hAnsi="宋体" w:cs="Arial"/>
          <w:sz w:val="24"/>
        </w:rPr>
        <w:t>室</w:t>
      </w:r>
      <w:r>
        <w:rPr>
          <w:rFonts w:ascii="宋体" w:hAnsi="宋体" w:cs="Arial"/>
          <w:sz w:val="24"/>
        </w:rPr>
        <w:t>、智慧教室等</w:t>
      </w:r>
      <w:r>
        <w:rPr>
          <w:rFonts w:hint="eastAsia" w:ascii="宋体" w:hAnsi="宋体" w:cs="Arial"/>
          <w:sz w:val="24"/>
        </w:rPr>
        <w:t>项目的改扩建</w:t>
      </w:r>
      <w:r>
        <w:rPr>
          <w:rFonts w:ascii="宋体" w:hAnsi="宋体" w:cs="Arial"/>
          <w:sz w:val="24"/>
        </w:rPr>
        <w:t>工程</w:t>
      </w:r>
      <w:r>
        <w:rPr>
          <w:rFonts w:hint="eastAsia" w:ascii="宋体" w:hAnsi="宋体" w:cs="Arial"/>
          <w:sz w:val="24"/>
        </w:rPr>
        <w:t>，更合理配置学校</w:t>
      </w:r>
      <w:r>
        <w:rPr>
          <w:rFonts w:ascii="宋体" w:hAnsi="宋体" w:cs="Arial"/>
          <w:sz w:val="24"/>
        </w:rPr>
        <w:t>现有</w:t>
      </w:r>
      <w:r>
        <w:rPr>
          <w:rFonts w:hint="eastAsia" w:ascii="宋体" w:hAnsi="宋体" w:cs="Arial"/>
          <w:sz w:val="24"/>
        </w:rPr>
        <w:t>校</w:t>
      </w:r>
      <w:r>
        <w:rPr>
          <w:rFonts w:ascii="宋体" w:hAnsi="宋体" w:cs="Arial"/>
          <w:sz w:val="24"/>
        </w:rPr>
        <w:t>舍</w:t>
      </w:r>
      <w:r>
        <w:rPr>
          <w:rFonts w:hint="eastAsia" w:ascii="宋体" w:hAnsi="宋体" w:cs="Arial"/>
          <w:sz w:val="24"/>
        </w:rPr>
        <w:t>资源，发挥最大使用</w:t>
      </w:r>
      <w:r>
        <w:rPr>
          <w:rFonts w:ascii="宋体" w:hAnsi="宋体" w:cs="Arial"/>
          <w:sz w:val="24"/>
        </w:rPr>
        <w:t>效率</w:t>
      </w:r>
      <w:r>
        <w:rPr>
          <w:rFonts w:hint="eastAsia" w:ascii="宋体" w:hAnsi="宋体" w:cs="Arial"/>
          <w:sz w:val="24"/>
        </w:rPr>
        <w:t>，满足师生</w:t>
      </w:r>
      <w:r>
        <w:rPr>
          <w:rFonts w:ascii="宋体" w:hAnsi="宋体" w:cs="Arial"/>
          <w:sz w:val="24"/>
        </w:rPr>
        <w:t>生活、学习、</w:t>
      </w:r>
      <w:r>
        <w:rPr>
          <w:rFonts w:hint="eastAsia" w:ascii="宋体" w:hAnsi="宋体" w:cs="Arial"/>
          <w:sz w:val="24"/>
        </w:rPr>
        <w:t>实</w:t>
      </w:r>
      <w:r>
        <w:rPr>
          <w:rFonts w:ascii="宋体" w:hAnsi="宋体" w:cs="Arial"/>
          <w:sz w:val="24"/>
        </w:rPr>
        <w:t>训</w:t>
      </w:r>
      <w:r>
        <w:rPr>
          <w:rFonts w:hint="eastAsia" w:ascii="宋体" w:hAnsi="宋体" w:cs="Arial"/>
          <w:sz w:val="24"/>
        </w:rPr>
        <w:t>等各</w:t>
      </w:r>
      <w:r>
        <w:rPr>
          <w:rFonts w:ascii="宋体" w:hAnsi="宋体" w:cs="Arial"/>
          <w:sz w:val="24"/>
        </w:rPr>
        <w:t>方面需求</w:t>
      </w:r>
      <w:r>
        <w:rPr>
          <w:rFonts w:hint="eastAsia" w:ascii="宋体" w:hAnsi="宋体" w:cs="Arial"/>
          <w:sz w:val="24"/>
        </w:rPr>
        <w:t>。</w:t>
      </w:r>
    </w:p>
    <w:p>
      <w:pPr>
        <w:pStyle w:val="3"/>
        <w:keepNext w:val="0"/>
        <w:keepLines w:val="0"/>
        <w:adjustRightInd w:val="0"/>
        <w:snapToGrid w:val="0"/>
        <w:spacing w:line="360" w:lineRule="auto"/>
        <w:ind w:firstLine="420" w:firstLineChars="150"/>
        <w:rPr>
          <w:b w:val="0"/>
          <w:sz w:val="28"/>
          <w:szCs w:val="28"/>
        </w:rPr>
      </w:pPr>
      <w:r>
        <w:rPr>
          <w:rFonts w:hint="eastAsia"/>
          <w:b w:val="0"/>
          <w:sz w:val="28"/>
          <w:szCs w:val="28"/>
        </w:rPr>
        <w:t>8.2信息化教学资源建设和应用有待进一步加强</w:t>
      </w:r>
      <w:bookmarkEnd w:id="89"/>
      <w:bookmarkEnd w:id="90"/>
    </w:p>
    <w:p>
      <w:pPr>
        <w:widowControl/>
        <w:snapToGrid w:val="0"/>
        <w:spacing w:line="360" w:lineRule="auto"/>
        <w:ind w:firstLine="480" w:firstLineChars="200"/>
        <w:jc w:val="left"/>
        <w:outlineLvl w:val="2"/>
        <w:rPr>
          <w:rFonts w:cs="宋体" w:asciiTheme="minorEastAsia" w:hAnsiTheme="minorEastAsia" w:eastAsiaTheme="minorEastAsia"/>
          <w:b/>
          <w:kern w:val="0"/>
          <w:sz w:val="24"/>
        </w:rPr>
      </w:pPr>
      <w:bookmarkStart w:id="93" w:name="_Toc471905489"/>
      <w:bookmarkStart w:id="94" w:name="_Toc471905966"/>
      <w:bookmarkStart w:id="95" w:name="_Toc467049659"/>
      <w:r>
        <w:rPr>
          <w:rFonts w:hint="eastAsia" w:cs="宋体" w:asciiTheme="minorEastAsia" w:hAnsiTheme="minorEastAsia" w:eastAsiaTheme="minorEastAsia"/>
          <w:kern w:val="0"/>
          <w:sz w:val="24"/>
        </w:rPr>
        <w:t>2019年度，学校信息化教学资源建设通过自主开发、技术引进等手段，取得了长足的进步，已有了较好的基础，基本满足了教学和学生信息化学习的需求，但与飞速发展的信息化教学技术相比，还存在传统医学类教学资源不能满足现代医学教育的需要，数字化资源库建设机制不太健全，资源在线使用率不够高，教师数字化教学应用水平不能满足00后学生的需要等问题。</w:t>
      </w:r>
      <w:bookmarkEnd w:id="93"/>
      <w:bookmarkEnd w:id="94"/>
      <w:bookmarkEnd w:id="95"/>
      <w:bookmarkStart w:id="96" w:name="_Toc467049660"/>
      <w:bookmarkStart w:id="97" w:name="_Toc471905967"/>
      <w:bookmarkStart w:id="98" w:name="_Toc471905490"/>
    </w:p>
    <w:p>
      <w:pPr>
        <w:widowControl/>
        <w:snapToGrid w:val="0"/>
        <w:spacing w:line="360" w:lineRule="auto"/>
        <w:ind w:firstLine="482" w:firstLineChars="200"/>
        <w:jc w:val="left"/>
        <w:outlineLvl w:val="2"/>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改进措施</w:t>
      </w:r>
      <w:bookmarkEnd w:id="96"/>
      <w:r>
        <w:rPr>
          <w:rFonts w:hint="eastAsia" w:cs="宋体" w:asciiTheme="minorEastAsia" w:hAnsiTheme="minorEastAsia" w:eastAsiaTheme="minorEastAsia"/>
          <w:b/>
          <w:kern w:val="0"/>
          <w:sz w:val="24"/>
        </w:rPr>
        <w:t>：</w:t>
      </w:r>
      <w:bookmarkEnd w:id="97"/>
      <w:bookmarkEnd w:id="98"/>
      <w:bookmarkStart w:id="99" w:name="_Toc471905968"/>
      <w:bookmarkStart w:id="100" w:name="_Toc467049661"/>
      <w:bookmarkStart w:id="101" w:name="_Toc471905491"/>
    </w:p>
    <w:p>
      <w:pPr>
        <w:widowControl/>
        <w:snapToGrid w:val="0"/>
        <w:spacing w:line="360" w:lineRule="auto"/>
        <w:ind w:firstLine="480" w:firstLineChars="200"/>
        <w:jc w:val="left"/>
        <w:outlineLvl w:val="2"/>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加强校园信息化硬件基础设施建设 在原有硬件基础上，按照总体规划、分步实施的原则，加强信息化硬件基础设施。</w:t>
      </w:r>
    </w:p>
    <w:p>
      <w:pPr>
        <w:widowControl/>
        <w:snapToGrid w:val="0"/>
        <w:spacing w:line="360" w:lineRule="auto"/>
        <w:ind w:firstLine="480" w:firstLineChars="200"/>
        <w:jc w:val="left"/>
        <w:outlineLvl w:val="2"/>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提升师生信息化教与学的意识和能力 通过走出去、请进来的办法培养了一支掌握现代信息技术和教育理论的新型师资队伍，形成覆盖各科、自觉应用现代教育技术开展教改，以熟练运用校园网管理平台、学校资源网等进行教学及开展科研的骨干教师群体。</w:t>
      </w:r>
      <w:bookmarkEnd w:id="99"/>
      <w:bookmarkEnd w:id="100"/>
      <w:bookmarkEnd w:id="101"/>
    </w:p>
    <w:p>
      <w:pPr>
        <w:widowControl/>
        <w:snapToGrid w:val="0"/>
        <w:spacing w:line="360" w:lineRule="auto"/>
        <w:ind w:firstLine="480" w:firstLineChars="200"/>
        <w:jc w:val="left"/>
        <w:outlineLvl w:val="2"/>
        <w:rPr>
          <w:rFonts w:cs="宋体" w:asciiTheme="minorEastAsia" w:hAnsiTheme="minorEastAsia" w:eastAsiaTheme="minorEastAsia"/>
          <w:kern w:val="0"/>
          <w:sz w:val="24"/>
        </w:rPr>
      </w:pPr>
      <w:bookmarkStart w:id="102" w:name="_Toc467049662"/>
      <w:bookmarkStart w:id="103" w:name="_Toc471905492"/>
      <w:bookmarkStart w:id="104" w:name="_Toc471905969"/>
      <w:r>
        <w:rPr>
          <w:rFonts w:hint="eastAsia" w:cs="宋体" w:asciiTheme="minorEastAsia" w:hAnsiTheme="minorEastAsia" w:eastAsiaTheme="minorEastAsia"/>
          <w:kern w:val="0"/>
          <w:sz w:val="24"/>
        </w:rPr>
        <w:t>推进教学资源的应用 通过建设移动端学习资源、网络课程等，提高学生实习期间、假期自主学习的积极性，提升信息化教学资源的使用率。</w:t>
      </w:r>
      <w:bookmarkEnd w:id="91"/>
      <w:bookmarkEnd w:id="92"/>
      <w:bookmarkEnd w:id="102"/>
      <w:bookmarkEnd w:id="103"/>
      <w:bookmarkEnd w:id="104"/>
    </w:p>
    <w:p/>
    <w:sectPr>
      <w:headerReference r:id="rId6" w:type="default"/>
      <w:footerReference r:id="rId7"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0485338"/>
                          </w:sdtPr>
                          <w:sdtContent>
                            <w:p>
                              <w:pPr>
                                <w:pStyle w:val="9"/>
                                <w:jc w:val="center"/>
                              </w:pPr>
                              <w:r>
                                <w:fldChar w:fldCharType="begin"/>
                              </w:r>
                              <w:r>
                                <w:instrText xml:space="preserve">PAGE   \* MERGEFORMAT</w:instrText>
                              </w:r>
                              <w:r>
                                <w:fldChar w:fldCharType="separate"/>
                              </w:r>
                              <w:r>
                                <w:rPr>
                                  <w:lang w:val="zh-CN"/>
                                </w:rPr>
                                <w:t>-</w:t>
                              </w:r>
                              <w:r>
                                <w:t xml:space="preserve"> 1 -</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sdt>
                    <w:sdtPr>
                      <w:id w:val="-310485338"/>
                    </w:sdtPr>
                    <w:sdtContent>
                      <w:p>
                        <w:pPr>
                          <w:pStyle w:val="9"/>
                          <w:jc w:val="center"/>
                        </w:pPr>
                        <w:r>
                          <w:fldChar w:fldCharType="begin"/>
                        </w:r>
                        <w:r>
                          <w:instrText xml:space="preserve">PAGE   \* MERGEFORMAT</w:instrText>
                        </w:r>
                        <w:r>
                          <w:fldChar w:fldCharType="separate"/>
                        </w:r>
                        <w:r>
                          <w:rPr>
                            <w:lang w:val="zh-CN"/>
                          </w:rPr>
                          <w:t>-</w:t>
                        </w:r>
                        <w:r>
                          <w:t xml:space="preserve"> 1 -</w:t>
                        </w:r>
                        <w:r>
                          <w:fldChar w:fldCharType="end"/>
                        </w:r>
                      </w:p>
                    </w:sdtContent>
                  </w:sdt>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301243"/>
    </w:sdtPr>
    <w:sdtContent>
      <w:p>
        <w:pPr>
          <w:pStyle w:val="9"/>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2509970"/>
    </w:sdtPr>
    <w:sdtContent>
      <w:p>
        <w:pPr>
          <w:pStyle w:val="9"/>
          <w:jc w:val="center"/>
        </w:pPr>
        <w:r>
          <w:fldChar w:fldCharType="begin"/>
        </w:r>
        <w:r>
          <w:instrText xml:space="preserve">PAGE   \* MERGEFORMAT</w:instrText>
        </w:r>
        <w:r>
          <w:fldChar w:fldCharType="separate"/>
        </w:r>
        <w:r>
          <w:rPr>
            <w:lang w:val="zh-CN"/>
          </w:rPr>
          <w:t>14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kern w:val="0"/>
        <w:sz w:val="18"/>
        <w:szCs w:val="18"/>
        <w:u w:val="single"/>
      </w:rPr>
    </w:pPr>
    <w:r>
      <w:rPr>
        <w:kern w:val="0"/>
        <w:sz w:val="18"/>
        <w:szCs w:val="18"/>
      </w:rPr>
      <w:drawing>
        <wp:inline distT="0" distB="0" distL="0" distR="0">
          <wp:extent cx="263525" cy="263525"/>
          <wp:effectExtent l="0" t="0" r="3175" b="317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3525" cy="263525"/>
                  </a:xfrm>
                  <a:prstGeom prst="rect">
                    <a:avLst/>
                  </a:prstGeom>
                  <a:noFill/>
                  <a:ln>
                    <a:noFill/>
                  </a:ln>
                </pic:spPr>
              </pic:pic>
            </a:graphicData>
          </a:graphic>
        </wp:inline>
      </w:drawing>
    </w:r>
    <w:r>
      <w:rPr>
        <w:rFonts w:hint="eastAsia"/>
        <w:kern w:val="0"/>
        <w:sz w:val="18"/>
        <w:szCs w:val="18"/>
      </w:rPr>
      <w:t xml:space="preserve">海宁卫生学校                                                          </w:t>
    </w:r>
    <w:r>
      <w:rPr>
        <w:rFonts w:hint="eastAsia"/>
        <w:b/>
        <w:kern w:val="0"/>
        <w:sz w:val="18"/>
        <w:szCs w:val="18"/>
      </w:rPr>
      <w:t>2019</w:t>
    </w:r>
    <w:r>
      <w:rPr>
        <w:rFonts w:hint="eastAsia"/>
        <w:kern w:val="0"/>
        <w:sz w:val="18"/>
        <w:szCs w:val="18"/>
      </w:rPr>
      <w:t>年度教育质量报告</w:t>
    </w:r>
  </w:p>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jc w:val="center"/>
      <w:rPr>
        <w:kern w:val="0"/>
        <w:sz w:val="18"/>
        <w:szCs w:val="18"/>
        <w:u w:val="single"/>
      </w:rPr>
    </w:pPr>
    <w:r>
      <w:rPr>
        <w:kern w:val="0"/>
        <w:sz w:val="18"/>
        <w:szCs w:val="18"/>
      </w:rPr>
      <w:drawing>
        <wp:inline distT="0" distB="0" distL="0" distR="0">
          <wp:extent cx="263525" cy="263525"/>
          <wp:effectExtent l="0" t="0" r="3175" b="3175"/>
          <wp:docPr id="3" name="图片 3"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3525" cy="263525"/>
                  </a:xfrm>
                  <a:prstGeom prst="rect">
                    <a:avLst/>
                  </a:prstGeom>
                  <a:noFill/>
                  <a:ln>
                    <a:noFill/>
                  </a:ln>
                </pic:spPr>
              </pic:pic>
            </a:graphicData>
          </a:graphic>
        </wp:inline>
      </w:drawing>
    </w:r>
    <w:r>
      <w:rPr>
        <w:rFonts w:hint="eastAsia"/>
        <w:kern w:val="0"/>
        <w:sz w:val="18"/>
        <w:szCs w:val="18"/>
      </w:rPr>
      <w:t xml:space="preserve">海宁卫生学校                                                          </w:t>
    </w:r>
    <w:r>
      <w:rPr>
        <w:rFonts w:hint="eastAsia"/>
        <w:b/>
        <w:kern w:val="0"/>
        <w:sz w:val="18"/>
        <w:szCs w:val="18"/>
      </w:rPr>
      <w:t>2019</w:t>
    </w:r>
    <w:r>
      <w:rPr>
        <w:rFonts w:hint="eastAsia"/>
        <w:kern w:val="0"/>
        <w:sz w:val="18"/>
        <w:szCs w:val="18"/>
      </w:rPr>
      <w:t>年度教育质量报告</w:t>
    </w:r>
  </w:p>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66AD9"/>
    <w:rsid w:val="00001883"/>
    <w:rsid w:val="00031907"/>
    <w:rsid w:val="00031D3E"/>
    <w:rsid w:val="000459F5"/>
    <w:rsid w:val="00045E71"/>
    <w:rsid w:val="00050C69"/>
    <w:rsid w:val="0005463D"/>
    <w:rsid w:val="00054D9F"/>
    <w:rsid w:val="0005508F"/>
    <w:rsid w:val="00072768"/>
    <w:rsid w:val="00073BF6"/>
    <w:rsid w:val="00075525"/>
    <w:rsid w:val="000905F6"/>
    <w:rsid w:val="000A1BEA"/>
    <w:rsid w:val="000A418A"/>
    <w:rsid w:val="000A62D7"/>
    <w:rsid w:val="000A6FA7"/>
    <w:rsid w:val="000C2469"/>
    <w:rsid w:val="000C3922"/>
    <w:rsid w:val="000C4281"/>
    <w:rsid w:val="000C4470"/>
    <w:rsid w:val="000C4FE9"/>
    <w:rsid w:val="000C78A4"/>
    <w:rsid w:val="000D2F3C"/>
    <w:rsid w:val="000F24F1"/>
    <w:rsid w:val="000F2DD7"/>
    <w:rsid w:val="000F4084"/>
    <w:rsid w:val="0010397F"/>
    <w:rsid w:val="00105475"/>
    <w:rsid w:val="00106520"/>
    <w:rsid w:val="0010730B"/>
    <w:rsid w:val="00123856"/>
    <w:rsid w:val="00147024"/>
    <w:rsid w:val="0016299F"/>
    <w:rsid w:val="001715DA"/>
    <w:rsid w:val="00193831"/>
    <w:rsid w:val="001A50E4"/>
    <w:rsid w:val="001B3490"/>
    <w:rsid w:val="001C546A"/>
    <w:rsid w:val="001C64CA"/>
    <w:rsid w:val="001C7E2C"/>
    <w:rsid w:val="001D59DD"/>
    <w:rsid w:val="001F15C0"/>
    <w:rsid w:val="001F67D5"/>
    <w:rsid w:val="00204A33"/>
    <w:rsid w:val="00211A3D"/>
    <w:rsid w:val="00230CD4"/>
    <w:rsid w:val="002320D7"/>
    <w:rsid w:val="00233D57"/>
    <w:rsid w:val="0023438D"/>
    <w:rsid w:val="00244D28"/>
    <w:rsid w:val="00245A20"/>
    <w:rsid w:val="00251183"/>
    <w:rsid w:val="00261647"/>
    <w:rsid w:val="00273207"/>
    <w:rsid w:val="00275701"/>
    <w:rsid w:val="002802EC"/>
    <w:rsid w:val="002918E4"/>
    <w:rsid w:val="002A5FD9"/>
    <w:rsid w:val="002A69B8"/>
    <w:rsid w:val="002B0935"/>
    <w:rsid w:val="002C25AA"/>
    <w:rsid w:val="002C27A9"/>
    <w:rsid w:val="002D0130"/>
    <w:rsid w:val="002D3360"/>
    <w:rsid w:val="002E44BE"/>
    <w:rsid w:val="003017C6"/>
    <w:rsid w:val="003074CA"/>
    <w:rsid w:val="0031044F"/>
    <w:rsid w:val="00310DEE"/>
    <w:rsid w:val="00315E17"/>
    <w:rsid w:val="003205A7"/>
    <w:rsid w:val="00321D11"/>
    <w:rsid w:val="0032709C"/>
    <w:rsid w:val="003508AB"/>
    <w:rsid w:val="00355EC1"/>
    <w:rsid w:val="003618E1"/>
    <w:rsid w:val="00374C96"/>
    <w:rsid w:val="003800AA"/>
    <w:rsid w:val="0038768C"/>
    <w:rsid w:val="00390EE9"/>
    <w:rsid w:val="003950A1"/>
    <w:rsid w:val="003A0CAC"/>
    <w:rsid w:val="003A559C"/>
    <w:rsid w:val="003B0AD2"/>
    <w:rsid w:val="003B1D53"/>
    <w:rsid w:val="003B516C"/>
    <w:rsid w:val="003C1AFD"/>
    <w:rsid w:val="003C480F"/>
    <w:rsid w:val="003C5440"/>
    <w:rsid w:val="003E07C0"/>
    <w:rsid w:val="003E27BA"/>
    <w:rsid w:val="003F3032"/>
    <w:rsid w:val="00407E64"/>
    <w:rsid w:val="00411F6F"/>
    <w:rsid w:val="00414B06"/>
    <w:rsid w:val="004224B4"/>
    <w:rsid w:val="00426F09"/>
    <w:rsid w:val="00432A84"/>
    <w:rsid w:val="00433A22"/>
    <w:rsid w:val="004408BE"/>
    <w:rsid w:val="00441214"/>
    <w:rsid w:val="00441EA1"/>
    <w:rsid w:val="004504FD"/>
    <w:rsid w:val="004803F0"/>
    <w:rsid w:val="00483EF4"/>
    <w:rsid w:val="004A6D45"/>
    <w:rsid w:val="004B2D0E"/>
    <w:rsid w:val="004B593E"/>
    <w:rsid w:val="004B7374"/>
    <w:rsid w:val="004E2590"/>
    <w:rsid w:val="004E3621"/>
    <w:rsid w:val="004E43DF"/>
    <w:rsid w:val="004F7C43"/>
    <w:rsid w:val="00500E89"/>
    <w:rsid w:val="0050633F"/>
    <w:rsid w:val="00511EF9"/>
    <w:rsid w:val="00516274"/>
    <w:rsid w:val="00525597"/>
    <w:rsid w:val="00534B45"/>
    <w:rsid w:val="005361F8"/>
    <w:rsid w:val="00536670"/>
    <w:rsid w:val="00547669"/>
    <w:rsid w:val="00551A6D"/>
    <w:rsid w:val="005617BC"/>
    <w:rsid w:val="00581E61"/>
    <w:rsid w:val="00585D66"/>
    <w:rsid w:val="00592600"/>
    <w:rsid w:val="005963E5"/>
    <w:rsid w:val="00597E00"/>
    <w:rsid w:val="005B279C"/>
    <w:rsid w:val="005D1E38"/>
    <w:rsid w:val="005F6E35"/>
    <w:rsid w:val="00600D4E"/>
    <w:rsid w:val="006134FB"/>
    <w:rsid w:val="006165A0"/>
    <w:rsid w:val="00637633"/>
    <w:rsid w:val="006400FE"/>
    <w:rsid w:val="006508F4"/>
    <w:rsid w:val="0065120E"/>
    <w:rsid w:val="006531CE"/>
    <w:rsid w:val="00656829"/>
    <w:rsid w:val="006661A2"/>
    <w:rsid w:val="00666D95"/>
    <w:rsid w:val="00667DEF"/>
    <w:rsid w:val="00670119"/>
    <w:rsid w:val="00671D35"/>
    <w:rsid w:val="00686914"/>
    <w:rsid w:val="00692C87"/>
    <w:rsid w:val="00693FFA"/>
    <w:rsid w:val="006969B0"/>
    <w:rsid w:val="006B7AED"/>
    <w:rsid w:val="006C05E3"/>
    <w:rsid w:val="006C3DDA"/>
    <w:rsid w:val="006C40DD"/>
    <w:rsid w:val="006C6999"/>
    <w:rsid w:val="006D08A9"/>
    <w:rsid w:val="006D108B"/>
    <w:rsid w:val="006D1525"/>
    <w:rsid w:val="006D24BE"/>
    <w:rsid w:val="006D2B48"/>
    <w:rsid w:val="006E1252"/>
    <w:rsid w:val="00703255"/>
    <w:rsid w:val="007057DB"/>
    <w:rsid w:val="00711F94"/>
    <w:rsid w:val="00721B1E"/>
    <w:rsid w:val="00733789"/>
    <w:rsid w:val="0074751D"/>
    <w:rsid w:val="007516EF"/>
    <w:rsid w:val="00753894"/>
    <w:rsid w:val="00756527"/>
    <w:rsid w:val="007740BA"/>
    <w:rsid w:val="0079242C"/>
    <w:rsid w:val="00793CFA"/>
    <w:rsid w:val="007A5292"/>
    <w:rsid w:val="007A7517"/>
    <w:rsid w:val="007D57B8"/>
    <w:rsid w:val="007F34C7"/>
    <w:rsid w:val="007F3C5A"/>
    <w:rsid w:val="007F5013"/>
    <w:rsid w:val="00803B54"/>
    <w:rsid w:val="00811EE9"/>
    <w:rsid w:val="008267DA"/>
    <w:rsid w:val="00826EBF"/>
    <w:rsid w:val="0083551D"/>
    <w:rsid w:val="00854262"/>
    <w:rsid w:val="008673C3"/>
    <w:rsid w:val="008775D7"/>
    <w:rsid w:val="008818B4"/>
    <w:rsid w:val="0089087F"/>
    <w:rsid w:val="00891F5D"/>
    <w:rsid w:val="008A1D97"/>
    <w:rsid w:val="008A433D"/>
    <w:rsid w:val="008B5D9B"/>
    <w:rsid w:val="008B7A82"/>
    <w:rsid w:val="008C0CA9"/>
    <w:rsid w:val="008E2696"/>
    <w:rsid w:val="008F0FD0"/>
    <w:rsid w:val="00903152"/>
    <w:rsid w:val="00904033"/>
    <w:rsid w:val="00905E60"/>
    <w:rsid w:val="00915104"/>
    <w:rsid w:val="009159E2"/>
    <w:rsid w:val="0092792E"/>
    <w:rsid w:val="009442F9"/>
    <w:rsid w:val="00947EA8"/>
    <w:rsid w:val="009513D8"/>
    <w:rsid w:val="00953E47"/>
    <w:rsid w:val="0097226A"/>
    <w:rsid w:val="00984835"/>
    <w:rsid w:val="0098555C"/>
    <w:rsid w:val="00991E9B"/>
    <w:rsid w:val="009968BF"/>
    <w:rsid w:val="009A510B"/>
    <w:rsid w:val="009B4D8F"/>
    <w:rsid w:val="009D3D1B"/>
    <w:rsid w:val="009D5561"/>
    <w:rsid w:val="009E00A0"/>
    <w:rsid w:val="009E221E"/>
    <w:rsid w:val="009E3BC4"/>
    <w:rsid w:val="009F04F4"/>
    <w:rsid w:val="00A01198"/>
    <w:rsid w:val="00A01DFF"/>
    <w:rsid w:val="00A044E8"/>
    <w:rsid w:val="00A0454A"/>
    <w:rsid w:val="00A24164"/>
    <w:rsid w:val="00A24801"/>
    <w:rsid w:val="00A50CC8"/>
    <w:rsid w:val="00A57C44"/>
    <w:rsid w:val="00A61964"/>
    <w:rsid w:val="00A62EEB"/>
    <w:rsid w:val="00A73A4B"/>
    <w:rsid w:val="00A85C37"/>
    <w:rsid w:val="00A91447"/>
    <w:rsid w:val="00A9225D"/>
    <w:rsid w:val="00A94C8D"/>
    <w:rsid w:val="00A96631"/>
    <w:rsid w:val="00AA334C"/>
    <w:rsid w:val="00AB55F4"/>
    <w:rsid w:val="00AC412E"/>
    <w:rsid w:val="00AC456B"/>
    <w:rsid w:val="00AC7C8B"/>
    <w:rsid w:val="00AD39C6"/>
    <w:rsid w:val="00AE0A1C"/>
    <w:rsid w:val="00AE2572"/>
    <w:rsid w:val="00AE3358"/>
    <w:rsid w:val="00B073BE"/>
    <w:rsid w:val="00B12490"/>
    <w:rsid w:val="00B34504"/>
    <w:rsid w:val="00B4179C"/>
    <w:rsid w:val="00B45FC0"/>
    <w:rsid w:val="00B50F5B"/>
    <w:rsid w:val="00B5683E"/>
    <w:rsid w:val="00B74768"/>
    <w:rsid w:val="00B771A2"/>
    <w:rsid w:val="00B8591C"/>
    <w:rsid w:val="00B8733E"/>
    <w:rsid w:val="00B94A25"/>
    <w:rsid w:val="00B97A8F"/>
    <w:rsid w:val="00BA7B68"/>
    <w:rsid w:val="00BB1B62"/>
    <w:rsid w:val="00BB299E"/>
    <w:rsid w:val="00BB2C4A"/>
    <w:rsid w:val="00BB2D70"/>
    <w:rsid w:val="00BB78AF"/>
    <w:rsid w:val="00BD39F6"/>
    <w:rsid w:val="00BE1C78"/>
    <w:rsid w:val="00BE54B6"/>
    <w:rsid w:val="00BF21AD"/>
    <w:rsid w:val="00C00908"/>
    <w:rsid w:val="00C0763F"/>
    <w:rsid w:val="00C16E9E"/>
    <w:rsid w:val="00C22AED"/>
    <w:rsid w:val="00C24320"/>
    <w:rsid w:val="00C269FF"/>
    <w:rsid w:val="00C31A8E"/>
    <w:rsid w:val="00C33476"/>
    <w:rsid w:val="00C33EF7"/>
    <w:rsid w:val="00C414C6"/>
    <w:rsid w:val="00C41CE2"/>
    <w:rsid w:val="00C46032"/>
    <w:rsid w:val="00C5079A"/>
    <w:rsid w:val="00C51A12"/>
    <w:rsid w:val="00C54F16"/>
    <w:rsid w:val="00C60CA4"/>
    <w:rsid w:val="00C61107"/>
    <w:rsid w:val="00C62617"/>
    <w:rsid w:val="00C65A78"/>
    <w:rsid w:val="00C66E04"/>
    <w:rsid w:val="00C718EA"/>
    <w:rsid w:val="00C77A8E"/>
    <w:rsid w:val="00C85163"/>
    <w:rsid w:val="00C94580"/>
    <w:rsid w:val="00C97157"/>
    <w:rsid w:val="00CA7E98"/>
    <w:rsid w:val="00CB5128"/>
    <w:rsid w:val="00CB5DB1"/>
    <w:rsid w:val="00CB7500"/>
    <w:rsid w:val="00CC0735"/>
    <w:rsid w:val="00CC490E"/>
    <w:rsid w:val="00CC6571"/>
    <w:rsid w:val="00CD76BD"/>
    <w:rsid w:val="00CE4E76"/>
    <w:rsid w:val="00CF3DAE"/>
    <w:rsid w:val="00D02B3E"/>
    <w:rsid w:val="00D05F44"/>
    <w:rsid w:val="00D11803"/>
    <w:rsid w:val="00D135B1"/>
    <w:rsid w:val="00D14048"/>
    <w:rsid w:val="00D4161C"/>
    <w:rsid w:val="00D422B4"/>
    <w:rsid w:val="00D4365F"/>
    <w:rsid w:val="00D43D5B"/>
    <w:rsid w:val="00D507CA"/>
    <w:rsid w:val="00D72F05"/>
    <w:rsid w:val="00D73146"/>
    <w:rsid w:val="00D765B5"/>
    <w:rsid w:val="00D802DF"/>
    <w:rsid w:val="00D807BB"/>
    <w:rsid w:val="00D84637"/>
    <w:rsid w:val="00D84BA5"/>
    <w:rsid w:val="00D851A3"/>
    <w:rsid w:val="00D862CB"/>
    <w:rsid w:val="00D876D6"/>
    <w:rsid w:val="00D87CA4"/>
    <w:rsid w:val="00D93F29"/>
    <w:rsid w:val="00D9684A"/>
    <w:rsid w:val="00D96DE5"/>
    <w:rsid w:val="00DA4611"/>
    <w:rsid w:val="00DA74D4"/>
    <w:rsid w:val="00DB22FC"/>
    <w:rsid w:val="00DB4DCB"/>
    <w:rsid w:val="00DB7D07"/>
    <w:rsid w:val="00DC0621"/>
    <w:rsid w:val="00DC438B"/>
    <w:rsid w:val="00DC5652"/>
    <w:rsid w:val="00DC5CBD"/>
    <w:rsid w:val="00DE68A5"/>
    <w:rsid w:val="00DE7876"/>
    <w:rsid w:val="00DF37BA"/>
    <w:rsid w:val="00DF772F"/>
    <w:rsid w:val="00E04844"/>
    <w:rsid w:val="00E06CB9"/>
    <w:rsid w:val="00E2064D"/>
    <w:rsid w:val="00E31602"/>
    <w:rsid w:val="00E3380B"/>
    <w:rsid w:val="00E33CF9"/>
    <w:rsid w:val="00E40EE2"/>
    <w:rsid w:val="00E44351"/>
    <w:rsid w:val="00E45784"/>
    <w:rsid w:val="00E46D69"/>
    <w:rsid w:val="00E557C7"/>
    <w:rsid w:val="00E56105"/>
    <w:rsid w:val="00E613BA"/>
    <w:rsid w:val="00E62173"/>
    <w:rsid w:val="00E7149C"/>
    <w:rsid w:val="00E715BB"/>
    <w:rsid w:val="00E72821"/>
    <w:rsid w:val="00E7337C"/>
    <w:rsid w:val="00E77119"/>
    <w:rsid w:val="00E80F3E"/>
    <w:rsid w:val="00E8122B"/>
    <w:rsid w:val="00E83ED1"/>
    <w:rsid w:val="00EA1637"/>
    <w:rsid w:val="00EA671A"/>
    <w:rsid w:val="00EB391B"/>
    <w:rsid w:val="00EB4B6F"/>
    <w:rsid w:val="00EB6594"/>
    <w:rsid w:val="00EC16DD"/>
    <w:rsid w:val="00EC5A82"/>
    <w:rsid w:val="00EC608E"/>
    <w:rsid w:val="00ED30C1"/>
    <w:rsid w:val="00ED6B51"/>
    <w:rsid w:val="00EE0108"/>
    <w:rsid w:val="00EE0237"/>
    <w:rsid w:val="00EF264E"/>
    <w:rsid w:val="00EF3A77"/>
    <w:rsid w:val="00EF6CF8"/>
    <w:rsid w:val="00F03F68"/>
    <w:rsid w:val="00F17624"/>
    <w:rsid w:val="00F2088B"/>
    <w:rsid w:val="00F26674"/>
    <w:rsid w:val="00F276FC"/>
    <w:rsid w:val="00F33260"/>
    <w:rsid w:val="00F44D50"/>
    <w:rsid w:val="00F45F70"/>
    <w:rsid w:val="00F754EC"/>
    <w:rsid w:val="00F878CE"/>
    <w:rsid w:val="00F9348C"/>
    <w:rsid w:val="00F964AE"/>
    <w:rsid w:val="00FB5AA8"/>
    <w:rsid w:val="00FB6A1A"/>
    <w:rsid w:val="00FD61B4"/>
    <w:rsid w:val="00FE50BF"/>
    <w:rsid w:val="00FF0ED6"/>
    <w:rsid w:val="00FF2238"/>
    <w:rsid w:val="00FF6A05"/>
    <w:rsid w:val="0152693E"/>
    <w:rsid w:val="016B0AD7"/>
    <w:rsid w:val="017F5CAA"/>
    <w:rsid w:val="02CF3742"/>
    <w:rsid w:val="04EE2F24"/>
    <w:rsid w:val="05C53435"/>
    <w:rsid w:val="05CF6B09"/>
    <w:rsid w:val="05DF322C"/>
    <w:rsid w:val="068953D5"/>
    <w:rsid w:val="06A155E6"/>
    <w:rsid w:val="07790BD7"/>
    <w:rsid w:val="078F10CF"/>
    <w:rsid w:val="092D6522"/>
    <w:rsid w:val="0A9960F9"/>
    <w:rsid w:val="0AB270A6"/>
    <w:rsid w:val="0AE852A4"/>
    <w:rsid w:val="0BBD2F01"/>
    <w:rsid w:val="0FB140CC"/>
    <w:rsid w:val="10627154"/>
    <w:rsid w:val="10857DCC"/>
    <w:rsid w:val="10EB41E4"/>
    <w:rsid w:val="13E1149F"/>
    <w:rsid w:val="13EA5B41"/>
    <w:rsid w:val="17930036"/>
    <w:rsid w:val="18407D90"/>
    <w:rsid w:val="19D523B2"/>
    <w:rsid w:val="1A31480B"/>
    <w:rsid w:val="1A9A60E8"/>
    <w:rsid w:val="1AAA6135"/>
    <w:rsid w:val="1B0E6704"/>
    <w:rsid w:val="1B225691"/>
    <w:rsid w:val="1BDB1E3A"/>
    <w:rsid w:val="1CB16051"/>
    <w:rsid w:val="1E895DB9"/>
    <w:rsid w:val="1F130376"/>
    <w:rsid w:val="1FC17D18"/>
    <w:rsid w:val="204E5BCD"/>
    <w:rsid w:val="20DD6990"/>
    <w:rsid w:val="21376B34"/>
    <w:rsid w:val="21945C11"/>
    <w:rsid w:val="221D0B9F"/>
    <w:rsid w:val="24394B45"/>
    <w:rsid w:val="24431D0A"/>
    <w:rsid w:val="24A903F1"/>
    <w:rsid w:val="24D60810"/>
    <w:rsid w:val="25161681"/>
    <w:rsid w:val="2518540E"/>
    <w:rsid w:val="26580FEE"/>
    <w:rsid w:val="26B62C2C"/>
    <w:rsid w:val="26CD72AC"/>
    <w:rsid w:val="275D458F"/>
    <w:rsid w:val="27780F5D"/>
    <w:rsid w:val="27CA6947"/>
    <w:rsid w:val="28C66AD9"/>
    <w:rsid w:val="2C3920A8"/>
    <w:rsid w:val="2C485368"/>
    <w:rsid w:val="2C7E62C1"/>
    <w:rsid w:val="2C923B75"/>
    <w:rsid w:val="2CAC2F02"/>
    <w:rsid w:val="2E632CD2"/>
    <w:rsid w:val="2EAD75C5"/>
    <w:rsid w:val="2ED85D96"/>
    <w:rsid w:val="2FBD586C"/>
    <w:rsid w:val="303A4B56"/>
    <w:rsid w:val="31462EE7"/>
    <w:rsid w:val="32322C7F"/>
    <w:rsid w:val="331327BC"/>
    <w:rsid w:val="36CD2EC6"/>
    <w:rsid w:val="38231CBF"/>
    <w:rsid w:val="386C355B"/>
    <w:rsid w:val="39DE6120"/>
    <w:rsid w:val="3A1C378A"/>
    <w:rsid w:val="3AFF0DBE"/>
    <w:rsid w:val="3B32309A"/>
    <w:rsid w:val="3BEE55BD"/>
    <w:rsid w:val="3C936CC2"/>
    <w:rsid w:val="3E2A7D7C"/>
    <w:rsid w:val="3E953B97"/>
    <w:rsid w:val="3F310619"/>
    <w:rsid w:val="3F31068C"/>
    <w:rsid w:val="3F423AF4"/>
    <w:rsid w:val="3F866738"/>
    <w:rsid w:val="41232E1B"/>
    <w:rsid w:val="41D45222"/>
    <w:rsid w:val="42C12FE4"/>
    <w:rsid w:val="431A7C54"/>
    <w:rsid w:val="435F5783"/>
    <w:rsid w:val="442632E8"/>
    <w:rsid w:val="442A06CF"/>
    <w:rsid w:val="44526F1E"/>
    <w:rsid w:val="44A23C32"/>
    <w:rsid w:val="44F4361B"/>
    <w:rsid w:val="46AE5767"/>
    <w:rsid w:val="474F2E12"/>
    <w:rsid w:val="47640555"/>
    <w:rsid w:val="480027DF"/>
    <w:rsid w:val="490975E1"/>
    <w:rsid w:val="497C3EE3"/>
    <w:rsid w:val="49AE5F1E"/>
    <w:rsid w:val="4B4231E2"/>
    <w:rsid w:val="4BCC045C"/>
    <w:rsid w:val="4C6A449A"/>
    <w:rsid w:val="4CBB2AB7"/>
    <w:rsid w:val="4D134237"/>
    <w:rsid w:val="4E49075E"/>
    <w:rsid w:val="50B351A9"/>
    <w:rsid w:val="51A26B51"/>
    <w:rsid w:val="522A48A8"/>
    <w:rsid w:val="53163B05"/>
    <w:rsid w:val="549B3100"/>
    <w:rsid w:val="56C50E28"/>
    <w:rsid w:val="57A33725"/>
    <w:rsid w:val="587355A9"/>
    <w:rsid w:val="58802A2D"/>
    <w:rsid w:val="59A0544E"/>
    <w:rsid w:val="5A454D4D"/>
    <w:rsid w:val="5AF202A3"/>
    <w:rsid w:val="5B5B41AD"/>
    <w:rsid w:val="5BE45D39"/>
    <w:rsid w:val="5C1C1470"/>
    <w:rsid w:val="5D450435"/>
    <w:rsid w:val="5E3C2771"/>
    <w:rsid w:val="5ED14094"/>
    <w:rsid w:val="6013634F"/>
    <w:rsid w:val="61CD5B7B"/>
    <w:rsid w:val="633D2919"/>
    <w:rsid w:val="6462475E"/>
    <w:rsid w:val="659D17C3"/>
    <w:rsid w:val="6A80265C"/>
    <w:rsid w:val="6A961499"/>
    <w:rsid w:val="6C954B38"/>
    <w:rsid w:val="6D46167F"/>
    <w:rsid w:val="6D541C6C"/>
    <w:rsid w:val="6DB34717"/>
    <w:rsid w:val="6E0173FC"/>
    <w:rsid w:val="6F284219"/>
    <w:rsid w:val="6FC11F6A"/>
    <w:rsid w:val="71915D5C"/>
    <w:rsid w:val="73352B3E"/>
    <w:rsid w:val="747B6A64"/>
    <w:rsid w:val="747F64AB"/>
    <w:rsid w:val="74F52D02"/>
    <w:rsid w:val="753D1601"/>
    <w:rsid w:val="7706345D"/>
    <w:rsid w:val="774B3613"/>
    <w:rsid w:val="78AF6E4E"/>
    <w:rsid w:val="78E74063"/>
    <w:rsid w:val="7ABC3B19"/>
    <w:rsid w:val="7B752D65"/>
    <w:rsid w:val="7CCC20F6"/>
    <w:rsid w:val="7DBB423E"/>
    <w:rsid w:val="7DF2754A"/>
    <w:rsid w:val="7EBD41E4"/>
    <w:rsid w:val="7F0C55F4"/>
    <w:rsid w:val="7F4D24B6"/>
    <w:rsid w:val="7FCB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2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unhideWhenUsed/>
    <w:qFormat/>
    <w:uiPriority w:val="0"/>
    <w:pPr>
      <w:spacing w:after="120"/>
    </w:pPr>
    <w:rPr>
      <w:rFonts w:ascii="Times New Roman" w:hAnsi="Times New Roman"/>
      <w:szCs w:val="21"/>
    </w:rPr>
  </w:style>
  <w:style w:type="paragraph" w:styleId="6">
    <w:name w:val="toc 3"/>
    <w:basedOn w:val="1"/>
    <w:next w:val="1"/>
    <w:qFormat/>
    <w:uiPriority w:val="39"/>
    <w:pPr>
      <w:tabs>
        <w:tab w:val="right" w:leader="dot" w:pos="9736"/>
      </w:tabs>
      <w:spacing w:line="360" w:lineRule="auto"/>
      <w:ind w:left="840" w:leftChars="400"/>
    </w:pPr>
  </w:style>
  <w:style w:type="paragraph" w:styleId="7">
    <w:name w:val="Body Text Indent 2"/>
    <w:basedOn w:val="1"/>
    <w:unhideWhenUsed/>
    <w:qFormat/>
    <w:uiPriority w:val="0"/>
    <w:pPr>
      <w:ind w:firstLine="435"/>
    </w:pPr>
    <w:rPr>
      <w:sz w:val="28"/>
    </w:rPr>
  </w:style>
  <w:style w:type="paragraph" w:styleId="8">
    <w:name w:val="Balloon Text"/>
    <w:basedOn w:val="1"/>
    <w:link w:val="20"/>
    <w:qFormat/>
    <w:uiPriority w:val="0"/>
    <w:rPr>
      <w:sz w:val="18"/>
      <w:szCs w:val="18"/>
    </w:rPr>
  </w:style>
  <w:style w:type="paragraph" w:styleId="9">
    <w:name w:val="footer"/>
    <w:basedOn w:val="1"/>
    <w:link w:val="27"/>
    <w:qFormat/>
    <w:uiPriority w:val="99"/>
    <w:pPr>
      <w:tabs>
        <w:tab w:val="center" w:pos="4153"/>
        <w:tab w:val="right" w:pos="8306"/>
      </w:tabs>
      <w:snapToGrid w:val="0"/>
      <w:jc w:val="left"/>
    </w:pPr>
    <w:rPr>
      <w:sz w:val="18"/>
    </w:rPr>
  </w:style>
  <w:style w:type="paragraph" w:styleId="10">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spacing w:beforeAutospacing="1" w:afterAutospacing="1"/>
      <w:jc w:val="left"/>
    </w:pPr>
    <w:rPr>
      <w:kern w:val="0"/>
      <w:sz w:val="24"/>
    </w:rPr>
  </w:style>
  <w:style w:type="character" w:styleId="16">
    <w:name w:val="Strong"/>
    <w:qFormat/>
    <w:uiPriority w:val="0"/>
    <w:rPr>
      <w:rFonts w:cs="Times New Roman"/>
      <w:b/>
    </w:rPr>
  </w:style>
  <w:style w:type="character" w:styleId="17">
    <w:name w:val="FollowedHyperlink"/>
    <w:basedOn w:val="15"/>
    <w:unhideWhenUsed/>
    <w:qFormat/>
    <w:uiPriority w:val="0"/>
    <w:rPr>
      <w:color w:val="800080" w:themeColor="followedHyperlink"/>
      <w:u w:val="single"/>
      <w14:textFill>
        <w14:solidFill>
          <w14:schemeClr w14:val="folHlink"/>
        </w14:solidFill>
      </w14:textFill>
    </w:rPr>
  </w:style>
  <w:style w:type="character" w:styleId="18">
    <w:name w:val="Hyperlink"/>
    <w:qFormat/>
    <w:uiPriority w:val="99"/>
    <w:rPr>
      <w:color w:val="000000"/>
      <w:sz w:val="18"/>
      <w:szCs w:val="18"/>
      <w:u w:val="none"/>
    </w:rPr>
  </w:style>
  <w:style w:type="character" w:customStyle="1" w:styleId="19">
    <w:name w:val="font01"/>
    <w:qFormat/>
    <w:uiPriority w:val="0"/>
    <w:rPr>
      <w:rFonts w:hint="eastAsia" w:ascii="宋体" w:hAnsi="宋体" w:eastAsia="宋体" w:cs="宋体"/>
      <w:color w:val="000000"/>
      <w:sz w:val="22"/>
      <w:szCs w:val="22"/>
      <w:u w:val="none"/>
    </w:rPr>
  </w:style>
  <w:style w:type="character" w:customStyle="1" w:styleId="20">
    <w:name w:val="批注框文本 字符"/>
    <w:link w:val="8"/>
    <w:qFormat/>
    <w:uiPriority w:val="0"/>
    <w:rPr>
      <w:rFonts w:ascii="Calibri" w:hAnsi="Calibri" w:eastAsia="宋体" w:cs="Times New Roman"/>
      <w:kern w:val="2"/>
      <w:sz w:val="18"/>
      <w:szCs w:val="18"/>
    </w:rPr>
  </w:style>
  <w:style w:type="character" w:customStyle="1" w:styleId="21">
    <w:name w:val="标题 2 字符"/>
    <w:link w:val="3"/>
    <w:qFormat/>
    <w:uiPriority w:val="0"/>
    <w:rPr>
      <w:rFonts w:ascii="Arial" w:hAnsi="Arial" w:eastAsia="黑体"/>
      <w:b/>
      <w:kern w:val="2"/>
      <w:sz w:val="32"/>
      <w:szCs w:val="24"/>
    </w:rPr>
  </w:style>
  <w:style w:type="paragraph" w:customStyle="1" w:styleId="22">
    <w:name w:val="TOC 标题1"/>
    <w:basedOn w:val="2"/>
    <w:next w:val="1"/>
    <w:unhideWhenUsed/>
    <w:qFormat/>
    <w:uiPriority w:val="39"/>
    <w:pPr>
      <w:widowControl/>
      <w:spacing w:before="480" w:line="276" w:lineRule="auto"/>
      <w:jc w:val="left"/>
      <w:outlineLvl w:val="9"/>
    </w:pPr>
    <w:rPr>
      <w:rFonts w:ascii="Cambria" w:hAnsi="Cambria"/>
      <w:bCs/>
      <w:color w:val="365F91"/>
      <w:kern w:val="0"/>
      <w:sz w:val="28"/>
      <w:szCs w:val="28"/>
    </w:rPr>
  </w:style>
  <w:style w:type="paragraph" w:customStyle="1" w:styleId="23">
    <w:name w:val="Char"/>
    <w:basedOn w:val="1"/>
    <w:qFormat/>
    <w:uiPriority w:val="0"/>
    <w:rPr>
      <w:rFonts w:ascii="Times New Roman" w:hAnsi="Times New Roman"/>
    </w:rPr>
  </w:style>
  <w:style w:type="paragraph" w:customStyle="1" w:styleId="24">
    <w:name w:val="Char1"/>
    <w:basedOn w:val="1"/>
    <w:qFormat/>
    <w:uiPriority w:val="0"/>
    <w:rPr>
      <w:rFonts w:ascii="Times New Roman" w:hAnsi="Times New Roman"/>
    </w:rPr>
  </w:style>
  <w:style w:type="paragraph" w:customStyle="1" w:styleId="25">
    <w:name w:val="列出段落1"/>
    <w:basedOn w:val="1"/>
    <w:unhideWhenUsed/>
    <w:qFormat/>
    <w:uiPriority w:val="99"/>
    <w:pPr>
      <w:ind w:firstLine="420" w:firstLineChars="200"/>
    </w:pPr>
  </w:style>
  <w:style w:type="character" w:customStyle="1" w:styleId="26">
    <w:name w:val="页眉 字符"/>
    <w:basedOn w:val="15"/>
    <w:link w:val="10"/>
    <w:qFormat/>
    <w:uiPriority w:val="99"/>
    <w:rPr>
      <w:rFonts w:ascii="Calibri" w:hAnsi="Calibri"/>
      <w:kern w:val="2"/>
      <w:sz w:val="18"/>
      <w:szCs w:val="24"/>
    </w:rPr>
  </w:style>
  <w:style w:type="character" w:customStyle="1" w:styleId="27">
    <w:name w:val="页脚 字符"/>
    <w:basedOn w:val="15"/>
    <w:link w:val="9"/>
    <w:qFormat/>
    <w:uiPriority w:val="99"/>
    <w:rPr>
      <w:rFonts w:ascii="Calibri" w:hAnsi="Calibri"/>
      <w:kern w:val="2"/>
      <w:sz w:val="18"/>
      <w:szCs w:val="24"/>
    </w:rPr>
  </w:style>
  <w:style w:type="paragraph" w:customStyle="1" w:styleId="28">
    <w:name w:val="列出段落11"/>
    <w:basedOn w:val="1"/>
    <w:qFormat/>
    <w:uiPriority w:val="99"/>
    <w:pPr>
      <w:ind w:firstLine="420" w:firstLineChars="200"/>
    </w:pPr>
  </w:style>
  <w:style w:type="paragraph" w:customStyle="1" w:styleId="29">
    <w:name w:val="p0"/>
    <w:basedOn w:val="1"/>
    <w:qFormat/>
    <w:uiPriority w:val="0"/>
    <w:pPr>
      <w:widowControl/>
      <w:spacing w:line="538" w:lineRule="atLeast"/>
      <w:ind w:firstLine="623"/>
      <w:textAlignment w:val="baseline"/>
    </w:pPr>
    <w:rPr>
      <w:color w:val="000000"/>
      <w:kern w:val="0"/>
      <w:sz w:val="31"/>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CDD36C-49CB-42D8-A08F-D58643B7ED4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19728</Words>
  <Characters>21353</Characters>
  <Lines>172</Lines>
  <Paragraphs>48</Paragraphs>
  <TotalTime>19</TotalTime>
  <ScaleCrop>false</ScaleCrop>
  <LinksUpToDate>false</LinksUpToDate>
  <CharactersWithSpaces>22706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2017-01-10T07:47:00Z</dcterms:created>
  <dc:creator>Administrator</dc:creator>
  <cp:lastModifiedBy>Niwu</cp:lastModifiedBy>
  <cp:lastPrinted>2019-12-27T08:41:00Z</cp:lastPrinted>
  <dcterms:modified xsi:type="dcterms:W3CDTF">2019-12-28T00:42:04Z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